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496919" w14:textId="77777777" w:rsidR="00E45340" w:rsidRDefault="00E45340">
      <w:pPr>
        <w:ind w:firstLine="1040"/>
        <w:jc w:val="distribute"/>
        <w:rPr>
          <w:rFonts w:ascii="Times New Roman" w:eastAsiaTheme="majorEastAsia" w:hAnsi="Times New Roman" w:cs="Times New Roman"/>
          <w:color w:val="000000" w:themeColor="text1"/>
          <w:kern w:val="21"/>
          <w:sz w:val="52"/>
          <w:szCs w:val="52"/>
        </w:rPr>
      </w:pPr>
    </w:p>
    <w:p w14:paraId="4151BC6C" w14:textId="77777777" w:rsidR="00E45340" w:rsidRDefault="00166EB0">
      <w:pPr>
        <w:pStyle w:val="10"/>
        <w:spacing w:beforeLines="50" w:before="156" w:afterLines="50" w:after="156" w:line="400" w:lineRule="atLeast"/>
        <w:ind w:firstLineChars="0" w:firstLine="0"/>
        <w:jc w:val="distribute"/>
        <w:rPr>
          <w:rFonts w:eastAsia="黑体"/>
          <w:sz w:val="48"/>
          <w:szCs w:val="48"/>
        </w:rPr>
      </w:pPr>
      <w:r>
        <w:rPr>
          <w:rFonts w:eastAsia="黑体"/>
          <w:sz w:val="48"/>
          <w:szCs w:val="48"/>
        </w:rPr>
        <w:t>绿色食品生产操作规程</w:t>
      </w:r>
    </w:p>
    <w:p w14:paraId="77B65AFD" w14:textId="77777777" w:rsidR="00E45340" w:rsidRDefault="00166EB0">
      <w:pPr>
        <w:pStyle w:val="10"/>
        <w:spacing w:beforeLines="50" w:before="156" w:afterLines="50" w:after="156" w:line="400" w:lineRule="atLeast"/>
        <w:ind w:firstLineChars="0" w:firstLine="0"/>
        <w:jc w:val="right"/>
        <w:rPr>
          <w:rFonts w:ascii="黑体" w:eastAsia="黑体" w:hAnsi="黑体"/>
          <w:color w:val="000000" w:themeColor="text1"/>
          <w:sz w:val="28"/>
          <w:szCs w:val="28"/>
        </w:rPr>
      </w:pPr>
      <w:r>
        <w:rPr>
          <w:rFonts w:ascii="黑体" w:eastAsia="黑体" w:hAnsi="黑体"/>
          <w:b/>
          <w:noProof/>
          <w:color w:val="000000" w:themeColor="text1"/>
          <w:sz w:val="28"/>
          <w:szCs w:val="28"/>
        </w:rPr>
        <mc:AlternateContent>
          <mc:Choice Requires="wps">
            <w:drawing>
              <wp:anchor distT="0" distB="0" distL="114300" distR="114300" simplePos="0" relativeHeight="251659264" behindDoc="0" locked="0" layoutInCell="1" allowOverlap="1">
                <wp:simplePos x="0" y="0"/>
                <wp:positionH relativeFrom="column">
                  <wp:posOffset>95250</wp:posOffset>
                </wp:positionH>
                <wp:positionV relativeFrom="paragraph">
                  <wp:posOffset>379730</wp:posOffset>
                </wp:positionV>
                <wp:extent cx="5173345"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5173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76C652" id="直接连接符 7"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7.5pt,29.9pt" to="414.8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OwnxwEAALQDAAAOAAAAZHJzL2Uyb0RvYy54bWysU0uOEzEQ3SNxB8t70t0zDEGtdGYxI9gg&#10;iPgcwOMuJxb+qWzSnUtwASR2sGLJntswHGPKTtIzAoQQYlPtcr1XVa9cvTgfrWFbwKi963gzqzkD&#10;J32v3brjb14/efCYs5iE64XxDjq+g8jPl/fvLYbQwonfeNMDMkriYjuEjm9SCm1VRbkBK+LMB3AU&#10;VB6tSOTiuupRDJTdmuqkrh9Vg8c+oJcQI91e7oN8WfIrBTK9UCpCYqbj1FsqFou9yrZaLkS7RhE2&#10;Wh7aEP/QhRXaUdEp1aVIgr1D/UsqqyX66FWaSW8rr5SWUDSQmqb+Sc2rjQhQtNBwYpjGFP9fWvl8&#10;u0Km+47POXPC0hNdf/j6/f2nH98+kr3+8pnN85CGEFvCXrgVHrwYVpgVjwpt/pIWNpbB7qbBwpiY&#10;pMuzZn56+vCMM3mMVbfEgDE9BW9ZPnTcaJc1i1Zsn8VExQh6hJCTG9mXLqe0M5DBxr0ERTqoWFPY&#10;ZYPgwiDbCnr7/m2TZVCugswUpY2ZSPWfSQdspkHZqr8lTuhS0bs0Ea12Hn9XNY3HVtUef1S915pl&#10;X/l+Vx6ijINWoyg7rHHevbt+od/+bMsbAAAA//8DAFBLAwQUAAYACAAAACEA6rvsxNwAAAAIAQAA&#10;DwAAAGRycy9kb3ducmV2LnhtbEyPzU7DMBCE70i8g7VI3KhDpJY2xKmqSghxQTSFuxtvnbT+iWwn&#10;DW/PIg7lODuj2fnK9WQNGzHEzjsBj7MMGLrGq85pAZ/7l4clsJikU9J4hwK+McK6ur0pZaH8xe1w&#10;rJNmVOJiIQW0KfUF57Fp0co48z068o4+WJlIBs1VkBcqt4bnWbbgVnaOPrSyx22LzbkerADzFsYv&#10;vdWbOLzuFvXp45i/70ch7u+mzTOwhFO6huF3Pk2HijYd/OBUZIb0nFCSgPmKCMhf5qsnYIe/A69K&#10;/h+g+gEAAP//AwBQSwECLQAUAAYACAAAACEAtoM4kv4AAADhAQAAEwAAAAAAAAAAAAAAAAAAAAAA&#10;W0NvbnRlbnRfVHlwZXNdLnhtbFBLAQItABQABgAIAAAAIQA4/SH/1gAAAJQBAAALAAAAAAAAAAAA&#10;AAAAAC8BAABfcmVscy8ucmVsc1BLAQItABQABgAIAAAAIQAqsOwnxwEAALQDAAAOAAAAAAAAAAAA&#10;AAAAAC4CAABkcnMvZTJvRG9jLnhtbFBLAQItABQABgAIAAAAIQDqu+zE3AAAAAgBAAAPAAAAAAAA&#10;AAAAAAAAACEEAABkcnMvZG93bnJldi54bWxQSwUGAAAAAAQABADzAAAAKgUAAAAA&#10;" strokecolor="black [3200]" strokeweight=".5pt">
                <v:stroke joinstyle="miter"/>
              </v:line>
            </w:pict>
          </mc:Fallback>
        </mc:AlternateContent>
      </w:r>
      <w:r>
        <w:rPr>
          <w:rFonts w:ascii="黑体" w:eastAsia="黑体" w:hAnsi="黑体"/>
          <w:color w:val="000000" w:themeColor="text1"/>
          <w:sz w:val="28"/>
          <w:szCs w:val="28"/>
        </w:rPr>
        <w:t xml:space="preserve">LB/T </w:t>
      </w:r>
      <w:r>
        <w:rPr>
          <w:rFonts w:ascii="黑体" w:eastAsia="黑体" w:hAnsi="黑体" w:hint="eastAsia"/>
          <w:color w:val="000000" w:themeColor="text1"/>
          <w:sz w:val="28"/>
          <w:szCs w:val="28"/>
        </w:rPr>
        <w:t>390</w:t>
      </w:r>
      <w:r>
        <w:rPr>
          <w:rFonts w:ascii="黑体" w:eastAsia="黑体" w:hAnsi="黑体"/>
          <w:color w:val="000000" w:themeColor="text1"/>
          <w:sz w:val="28"/>
          <w:szCs w:val="28"/>
        </w:rPr>
        <w:t>—2026</w:t>
      </w:r>
    </w:p>
    <w:p w14:paraId="29CDA15C" w14:textId="77777777" w:rsidR="00E45340" w:rsidRDefault="00E45340">
      <w:pPr>
        <w:ind w:firstLine="562"/>
        <w:jc w:val="right"/>
        <w:rPr>
          <w:rFonts w:ascii="Times New Roman" w:eastAsiaTheme="majorEastAsia" w:hAnsi="Times New Roman" w:cs="Times New Roman"/>
          <w:b/>
          <w:bCs/>
          <w:color w:val="000000" w:themeColor="text1"/>
          <w:kern w:val="21"/>
          <w:sz w:val="28"/>
          <w:szCs w:val="28"/>
        </w:rPr>
      </w:pPr>
    </w:p>
    <w:p w14:paraId="50B40D3A" w14:textId="77777777" w:rsidR="00E45340" w:rsidRDefault="00E45340">
      <w:pPr>
        <w:ind w:firstLine="562"/>
        <w:jc w:val="center"/>
        <w:rPr>
          <w:rFonts w:ascii="Times New Roman" w:eastAsiaTheme="majorEastAsia" w:hAnsi="Times New Roman" w:cs="Times New Roman"/>
          <w:b/>
          <w:bCs/>
          <w:color w:val="000000" w:themeColor="text1"/>
          <w:kern w:val="21"/>
          <w:sz w:val="28"/>
          <w:szCs w:val="28"/>
        </w:rPr>
      </w:pPr>
    </w:p>
    <w:p w14:paraId="266C5CDD" w14:textId="77777777" w:rsidR="00E45340" w:rsidRDefault="00E45340">
      <w:pPr>
        <w:ind w:firstLine="562"/>
        <w:jc w:val="center"/>
        <w:rPr>
          <w:rFonts w:ascii="Times New Roman" w:eastAsiaTheme="majorEastAsia" w:hAnsi="Times New Roman" w:cs="Times New Roman"/>
          <w:b/>
          <w:bCs/>
          <w:color w:val="000000" w:themeColor="text1"/>
          <w:kern w:val="21"/>
          <w:sz w:val="28"/>
          <w:szCs w:val="28"/>
        </w:rPr>
      </w:pPr>
    </w:p>
    <w:p w14:paraId="26334841" w14:textId="77777777" w:rsidR="00E45340" w:rsidRDefault="00E45340">
      <w:pPr>
        <w:ind w:firstLine="562"/>
        <w:jc w:val="center"/>
        <w:rPr>
          <w:rFonts w:ascii="Times New Roman" w:eastAsiaTheme="majorEastAsia" w:hAnsi="Times New Roman" w:cs="Times New Roman"/>
          <w:b/>
          <w:bCs/>
          <w:color w:val="000000" w:themeColor="text1"/>
          <w:kern w:val="21"/>
          <w:sz w:val="28"/>
          <w:szCs w:val="28"/>
        </w:rPr>
      </w:pPr>
    </w:p>
    <w:p w14:paraId="1867A169" w14:textId="77777777" w:rsidR="00E45340" w:rsidRDefault="00E45340">
      <w:pPr>
        <w:ind w:firstLine="562"/>
        <w:rPr>
          <w:rFonts w:ascii="Times New Roman" w:eastAsiaTheme="majorEastAsia" w:hAnsi="Times New Roman" w:cs="Times New Roman"/>
          <w:b/>
          <w:bCs/>
          <w:color w:val="000000" w:themeColor="text1"/>
          <w:kern w:val="21"/>
          <w:sz w:val="28"/>
          <w:szCs w:val="28"/>
        </w:rPr>
      </w:pPr>
    </w:p>
    <w:p w14:paraId="5D5F65CB" w14:textId="77777777" w:rsidR="00E45340" w:rsidRDefault="00E45340">
      <w:pPr>
        <w:ind w:firstLine="562"/>
        <w:rPr>
          <w:rFonts w:ascii="Times New Roman" w:eastAsiaTheme="majorEastAsia" w:hAnsi="Times New Roman" w:cs="Times New Roman"/>
          <w:b/>
          <w:bCs/>
          <w:color w:val="000000" w:themeColor="text1"/>
          <w:kern w:val="21"/>
          <w:sz w:val="28"/>
          <w:szCs w:val="28"/>
        </w:rPr>
      </w:pPr>
    </w:p>
    <w:p w14:paraId="5AA7EAAC" w14:textId="77777777" w:rsidR="00E45340" w:rsidRDefault="00E45340">
      <w:pPr>
        <w:ind w:firstLine="562"/>
        <w:jc w:val="center"/>
        <w:rPr>
          <w:rFonts w:ascii="Times New Roman" w:eastAsiaTheme="majorEastAsia" w:hAnsi="Times New Roman" w:cs="Times New Roman"/>
          <w:b/>
          <w:bCs/>
          <w:color w:val="000000" w:themeColor="text1"/>
          <w:kern w:val="21"/>
          <w:sz w:val="28"/>
          <w:szCs w:val="28"/>
        </w:rPr>
      </w:pPr>
    </w:p>
    <w:p w14:paraId="6FD8F78E" w14:textId="77777777" w:rsidR="00E45340" w:rsidRDefault="00166EB0">
      <w:pPr>
        <w:ind w:firstLineChars="0" w:firstLine="0"/>
        <w:jc w:val="center"/>
        <w:rPr>
          <w:rFonts w:ascii="Times New Roman" w:eastAsia="黑体" w:hAnsi="Times New Roman" w:cs="Times New Roman"/>
          <w:color w:val="000000" w:themeColor="text1"/>
          <w:kern w:val="21"/>
          <w:sz w:val="48"/>
          <w:szCs w:val="48"/>
        </w:rPr>
      </w:pPr>
      <w:r>
        <w:rPr>
          <w:rFonts w:ascii="Times New Roman" w:eastAsia="黑体" w:hAnsi="Times New Roman" w:cs="Times New Roman"/>
          <w:color w:val="000000" w:themeColor="text1"/>
          <w:kern w:val="21"/>
          <w:sz w:val="48"/>
          <w:szCs w:val="48"/>
        </w:rPr>
        <w:t>绿色食品橙汁加工规程</w:t>
      </w:r>
    </w:p>
    <w:p w14:paraId="719DED82" w14:textId="77777777" w:rsidR="00E45340" w:rsidRDefault="00E45340">
      <w:pPr>
        <w:ind w:firstLine="1040"/>
        <w:jc w:val="center"/>
        <w:rPr>
          <w:rFonts w:ascii="Times New Roman" w:eastAsiaTheme="majorEastAsia" w:hAnsi="Times New Roman" w:cs="Times New Roman"/>
          <w:color w:val="000000" w:themeColor="text1"/>
          <w:kern w:val="21"/>
          <w:sz w:val="52"/>
          <w:szCs w:val="52"/>
        </w:rPr>
      </w:pPr>
    </w:p>
    <w:p w14:paraId="52AD75DB" w14:textId="77777777" w:rsidR="00E45340" w:rsidRDefault="00E45340">
      <w:pPr>
        <w:ind w:firstLine="1040"/>
        <w:jc w:val="center"/>
        <w:rPr>
          <w:rFonts w:ascii="Times New Roman" w:eastAsiaTheme="majorEastAsia" w:hAnsi="Times New Roman" w:cs="Times New Roman"/>
          <w:color w:val="000000" w:themeColor="text1"/>
          <w:kern w:val="21"/>
          <w:sz w:val="52"/>
          <w:szCs w:val="52"/>
        </w:rPr>
      </w:pPr>
    </w:p>
    <w:p w14:paraId="638F4679" w14:textId="77777777" w:rsidR="00E45340" w:rsidRDefault="00E45340">
      <w:pPr>
        <w:ind w:firstLine="1040"/>
        <w:jc w:val="center"/>
        <w:rPr>
          <w:rFonts w:ascii="Times New Roman" w:eastAsiaTheme="majorEastAsia" w:hAnsi="Times New Roman" w:cs="Times New Roman"/>
          <w:color w:val="000000" w:themeColor="text1"/>
          <w:kern w:val="21"/>
          <w:sz w:val="52"/>
          <w:szCs w:val="52"/>
        </w:rPr>
      </w:pPr>
    </w:p>
    <w:p w14:paraId="3AD7A8E9" w14:textId="77777777" w:rsidR="00E45340" w:rsidRDefault="00E45340">
      <w:pPr>
        <w:ind w:firstLine="1040"/>
        <w:jc w:val="center"/>
        <w:rPr>
          <w:rFonts w:ascii="Times New Roman" w:eastAsiaTheme="majorEastAsia" w:hAnsi="Times New Roman" w:cs="Times New Roman"/>
          <w:color w:val="000000" w:themeColor="text1"/>
          <w:kern w:val="21"/>
          <w:sz w:val="52"/>
          <w:szCs w:val="52"/>
        </w:rPr>
      </w:pPr>
    </w:p>
    <w:p w14:paraId="2FD0FF5A" w14:textId="77777777" w:rsidR="00E45340" w:rsidRDefault="00E45340">
      <w:pPr>
        <w:ind w:firstLine="1040"/>
        <w:jc w:val="center"/>
        <w:rPr>
          <w:rFonts w:ascii="Times New Roman" w:eastAsiaTheme="majorEastAsia" w:hAnsi="Times New Roman" w:cs="Times New Roman"/>
          <w:color w:val="000000" w:themeColor="text1"/>
          <w:kern w:val="21"/>
          <w:sz w:val="52"/>
          <w:szCs w:val="52"/>
        </w:rPr>
      </w:pPr>
    </w:p>
    <w:p w14:paraId="7E77D027" w14:textId="77777777" w:rsidR="00E45340" w:rsidRDefault="00E45340">
      <w:pPr>
        <w:ind w:firstLine="1040"/>
        <w:jc w:val="center"/>
        <w:rPr>
          <w:rFonts w:ascii="Times New Roman" w:eastAsiaTheme="majorEastAsia" w:hAnsi="Times New Roman" w:cs="Times New Roman"/>
          <w:color w:val="000000" w:themeColor="text1"/>
          <w:kern w:val="21"/>
          <w:sz w:val="52"/>
          <w:szCs w:val="52"/>
        </w:rPr>
      </w:pPr>
    </w:p>
    <w:p w14:paraId="55795C61" w14:textId="77777777" w:rsidR="00E45340" w:rsidRDefault="00166EB0">
      <w:pPr>
        <w:pStyle w:val="10"/>
        <w:spacing w:before="156" w:after="156" w:line="400" w:lineRule="atLeast"/>
        <w:ind w:firstLineChars="0" w:firstLine="0"/>
        <w:contextualSpacing/>
        <w:jc w:val="center"/>
        <w:rPr>
          <w:rFonts w:ascii="黑体" w:eastAsia="黑体" w:hAnsi="黑体"/>
          <w:b/>
          <w:color w:val="000000" w:themeColor="text1"/>
          <w:sz w:val="28"/>
          <w:szCs w:val="28"/>
        </w:rPr>
      </w:pPr>
      <w:r>
        <w:rPr>
          <w:rFonts w:ascii="黑体" w:eastAsia="黑体" w:hAnsi="黑体"/>
          <w:color w:val="000000" w:themeColor="text1"/>
          <w:sz w:val="28"/>
          <w:szCs w:val="28"/>
        </w:rPr>
        <w:t>2026-0-0</w:t>
      </w:r>
      <w:r>
        <w:rPr>
          <w:rFonts w:ascii="黑体" w:eastAsia="黑体" w:hAnsi="黑体"/>
          <w:bCs/>
          <w:color w:val="000000" w:themeColor="text1"/>
          <w:sz w:val="28"/>
          <w:szCs w:val="28"/>
        </w:rPr>
        <w:t>发布</w:t>
      </w:r>
      <w:r>
        <w:rPr>
          <w:rFonts w:ascii="黑体" w:eastAsia="黑体" w:hAnsi="黑体"/>
          <w:b/>
          <w:color w:val="000000" w:themeColor="text1"/>
          <w:sz w:val="28"/>
          <w:szCs w:val="28"/>
        </w:rPr>
        <w:t xml:space="preserve">                                  </w:t>
      </w:r>
      <w:r>
        <w:rPr>
          <w:rFonts w:ascii="黑体" w:eastAsia="黑体" w:hAnsi="黑体"/>
          <w:color w:val="000000" w:themeColor="text1"/>
          <w:sz w:val="28"/>
          <w:szCs w:val="28"/>
        </w:rPr>
        <w:t>2026-0-0</w:t>
      </w:r>
      <w:r>
        <w:rPr>
          <w:rFonts w:ascii="黑体" w:eastAsia="黑体" w:hAnsi="黑体"/>
          <w:bCs/>
          <w:color w:val="000000" w:themeColor="text1"/>
          <w:sz w:val="28"/>
          <w:szCs w:val="28"/>
        </w:rPr>
        <w:t>实施</w:t>
      </w:r>
    </w:p>
    <w:p w14:paraId="2BD9EAF4" w14:textId="77777777" w:rsidR="00E45340" w:rsidRDefault="00166EB0">
      <w:pPr>
        <w:pStyle w:val="10"/>
        <w:spacing w:before="156" w:after="156" w:line="400" w:lineRule="atLeast"/>
        <w:ind w:left="357" w:firstLineChars="0" w:firstLine="0"/>
        <w:contextualSpacing/>
        <w:jc w:val="center"/>
        <w:rPr>
          <w:bCs/>
          <w:color w:val="000000" w:themeColor="text1"/>
          <w:sz w:val="32"/>
          <w:szCs w:val="32"/>
        </w:rPr>
      </w:pPr>
      <w:r>
        <w:rPr>
          <w:rFonts w:eastAsia="华文中宋"/>
          <w:bCs/>
          <w:noProof/>
          <w:color w:val="000000" w:themeColor="text1"/>
          <w:sz w:val="32"/>
          <w:szCs w:val="32"/>
        </w:rPr>
        <mc:AlternateContent>
          <mc:Choice Requires="wps">
            <w:drawing>
              <wp:anchor distT="0" distB="0" distL="114300" distR="114300" simplePos="0" relativeHeight="251662336" behindDoc="0" locked="0" layoutInCell="1" allowOverlap="1">
                <wp:simplePos x="0" y="0"/>
                <wp:positionH relativeFrom="column">
                  <wp:posOffset>-38100</wp:posOffset>
                </wp:positionH>
                <wp:positionV relativeFrom="paragraph">
                  <wp:posOffset>26035</wp:posOffset>
                </wp:positionV>
                <wp:extent cx="5372100" cy="0"/>
                <wp:effectExtent l="0" t="0" r="19050" b="19050"/>
                <wp:wrapNone/>
                <wp:docPr id="6" name="直接连接符 6"/>
                <wp:cNvGraphicFramePr/>
                <a:graphic xmlns:a="http://schemas.openxmlformats.org/drawingml/2006/main">
                  <a:graphicData uri="http://schemas.microsoft.com/office/word/2010/wordprocessingShape">
                    <wps:wsp>
                      <wps:cNvCnPr/>
                      <wps:spPr>
                        <a:xfrm>
                          <a:off x="0" y="0"/>
                          <a:ext cx="537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5F30C4" id="直接连接符 6"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3pt,2.05pt" to="420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Gq/xQEAALQDAAAOAAAAZHJzL2Uyb0RvYy54bWysU0uOEzEQ3SNxB8t70t1BBNRKZxYzgg2C&#10;iM8BPO5yYuGfyibduQQXQGIHK5bsuc0Mx6DsJD1oBiGE2FS7XO9V1StXL89Ga9gOMGrvOt7Mas7A&#10;Sd9rt+n42zdPHzzhLCbhemG8g47vIfKz1f17yyG0MPdbb3pARklcbIfQ8W1Koa2qKLdgRZz5AI6C&#10;yqMViVzcVD2KgbJbU83relENHvuAXkKMdHtxCPJVya8UyPRSqQiJmY5Tb6lYLPYy22q1FO0GRdhq&#10;eWxD/EMXVmhHRadUFyIJ9h71nVRWS/TRqzST3lZeKS2haCA1TX1LzeutCFC00HBimMYU/19a+WK3&#10;Rqb7ji84c8LSE11//Hb14fOP75/IXn/9whZ5SEOILWHP3RqPXgxrzIpHhTZ/SQsby2D302BhTEzS&#10;5aOHj+dNTfOXp1h1QwwY0zPwluVDx412WbNoxe55TFSMoCcIObmRQ+lySnsDGWzcK1Ckg4o1hV02&#10;CM4Nsp2gt+/fNVkG5SrITFHamIlU/5l0xGYalK36W+KELhW9SxPRaufxd1XTeGpVHfAn1QetWfal&#10;7/flIco4aDWKsuMa59371S/0m59t9RMAAP//AwBQSwMEFAAGAAgAAAAhABxZ6vLaAAAABgEAAA8A&#10;AABkcnMvZG93bnJldi54bWxMj0FLw0AQhe+C/2EZwVu7aSmhxGxKKYh4EZvqfZudbqLZ2bC7SeO/&#10;d/Six483vPdNuZtdLyYMsfOkYLXMQCA13nRkFbydHhdbEDFpMrr3hAq+MMKuur0pdWH8lY441ckK&#10;LqFYaAVtSkMhZWxadDou/YDE2cUHpxNjsNIEfeVy18t1luXS6Y54odUDHlpsPuvRKeifw/RuD3Yf&#10;x6djXn+8XtYvp0mp+7t5/wAi4Zz+juFHn9WhYqezH8lE0StY5PxKUrBZgeB4u8mYz78sq1L+16++&#10;AQAA//8DAFBLAQItABQABgAIAAAAIQC2gziS/gAAAOEBAAATAAAAAAAAAAAAAAAAAAAAAABbQ29u&#10;dGVudF9UeXBlc10ueG1sUEsBAi0AFAAGAAgAAAAhADj9If/WAAAAlAEAAAsAAAAAAAAAAAAAAAAA&#10;LwEAAF9yZWxzLy5yZWxzUEsBAi0AFAAGAAgAAAAhAIAQar/FAQAAtAMAAA4AAAAAAAAAAAAAAAAA&#10;LgIAAGRycy9lMm9Eb2MueG1sUEsBAi0AFAAGAAgAAAAhABxZ6vLaAAAABgEAAA8AAAAAAAAAAAAA&#10;AAAAHwQAAGRycy9kb3ducmV2LnhtbFBLBQYAAAAABAAEAPMAAAAmBQAAAAA=&#10;" strokecolor="black [3200]" strokeweight=".5pt">
                <v:stroke joinstyle="miter"/>
              </v:line>
            </w:pict>
          </mc:Fallback>
        </mc:AlternateContent>
      </w:r>
      <w:r>
        <w:rPr>
          <w:rFonts w:eastAsia="华文中宋"/>
          <w:bCs/>
          <w:noProof/>
          <w:color w:val="000000" w:themeColor="text1"/>
          <w:sz w:val="32"/>
          <w:szCs w:val="32"/>
        </w:rPr>
        <mc:AlternateContent>
          <mc:Choice Requires="wps">
            <w:drawing>
              <wp:anchor distT="0" distB="0" distL="114300" distR="114300" simplePos="0" relativeHeight="251661312" behindDoc="0" locked="0" layoutInCell="1" allowOverlap="1">
                <wp:simplePos x="0" y="0"/>
                <wp:positionH relativeFrom="column">
                  <wp:posOffset>1348740</wp:posOffset>
                </wp:positionH>
                <wp:positionV relativeFrom="paragraph">
                  <wp:posOffset>8893810</wp:posOffset>
                </wp:positionV>
                <wp:extent cx="4853940" cy="15240"/>
                <wp:effectExtent l="0" t="0" r="22860" b="2286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w:pict>
              <v:shapetype w14:anchorId="1223608F" id="_x0000_t32" coordsize="21600,21600" o:spt="32" o:oned="t" path="m,l21600,21600e" filled="f">
                <v:path arrowok="t" fillok="f" o:connecttype="none"/>
                <o:lock v:ext="edit" shapetype="t"/>
              </v:shapetype>
              <v:shape id="直接箭头连接符 5" o:spid="_x0000_s1026" type="#_x0000_t32" style="position:absolute;left:0;text-align:left;margin-left:106.2pt;margin-top:700.3pt;width:382.2pt;height:1.2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Uu+5AEAAHQDAAAOAAAAZHJzL2Uyb0RvYy54bWysU8FuEzEQvSPxD5bvZLOhi9pVNj2kKpcC&#10;kVo+wPF6dy28HmvsZJOf4AeQOAEnyql3voa2n8HYSQOFG2IPlu3xezPvzez0dNMbtlboNdiK56Mx&#10;Z8pKqLVtK/726vzZMWc+CFsLA1ZVfKs8P509fTIdXKkm0IGpFTIisb4cXMW7EFyZZV52qhd+BE5Z&#10;CjaAvQh0xDarUQzE3ptsMh6/yAbA2iFI5T3dnu2CfJb4m0bJ8KZpvArMVJxqC2nFtC7jms2momxR&#10;uE7LfRniH6rohbaU9EB1JoJgK9R/UfVaInhowkhCn0HTaKmSBlKTj/9Qc9kJp5IWMse7g03+/9HK&#10;1+sFMl1XvODMip5adPfh5vb957tv1z8+3dx//xj3X7+wIlo1OF8SYm4XGMXKjb10FyDfeWZh3gnb&#10;qlTy1dYRTx4R2SNIPHhHCZfDK6jpjVgFSL5tGuwjJTnCNqk920N71CYwSZdHx8XzkyPqoqRYXkxo&#10;GzOI8gHs0IeXCnoWNxX3AYVuuzAHa2kQAPOUSqwvfNgBHwAxs4VzbQzdi9JYNlT8pJgUCeDB6DoG&#10;Y8xju5wbZGsRJyp9+yoePUNY2XqXxNi9DVH5zsMl1NsFxnB0hFqbZOzHMM7O7+f06tfPMvsJAAD/&#10;/wMAUEsDBBQABgAIAAAAIQCcUngA4AAAAA0BAAAPAAAAZHJzL2Rvd25yZXYueG1sTI/NTsMwEITv&#10;SLyDtUhcELUTSn9CnKpC4sCRthJXN16SQLyOYqcJfXoWLuW4O6OZb/LN5Fpxwj40njQkMwUCqfS2&#10;oUrDYf9yvwIRoiFrWk+o4RsDbIrrq9xk1o/0hqddrASHUMiMhjrGLpMylDU6E2a+Q2Ltw/fORD77&#10;StrejBzuWpkqtZDONMQNtenwucbyazc4DRiGx0Rt1646vJ7Hu/f0/Dl2e61vb6btE4iIU7yY4Ref&#10;0aFgpqMfyAbRakiTdM5WFubcA4It6+WC1xz/Xg8KZJHL/yuKHwAAAP//AwBQSwECLQAUAAYACAAA&#10;ACEAtoM4kv4AAADhAQAAEwAAAAAAAAAAAAAAAAAAAAAAW0NvbnRlbnRfVHlwZXNdLnhtbFBLAQIt&#10;ABQABgAIAAAAIQA4/SH/1gAAAJQBAAALAAAAAAAAAAAAAAAAAC8BAABfcmVscy8ucmVsc1BLAQIt&#10;ABQABgAIAAAAIQDXcUu+5AEAAHQDAAAOAAAAAAAAAAAAAAAAAC4CAABkcnMvZTJvRG9jLnhtbFBL&#10;AQItABQABgAIAAAAIQCcUngA4AAAAA0BAAAPAAAAAAAAAAAAAAAAAD4EAABkcnMvZG93bnJldi54&#10;bWxQSwUGAAAAAAQABADzAAAASwUAAAAA&#10;"/>
            </w:pict>
          </mc:Fallback>
        </mc:AlternateContent>
      </w:r>
      <w:r>
        <w:rPr>
          <w:rFonts w:eastAsia="华文中宋"/>
          <w:bCs/>
          <w:noProof/>
          <w:color w:val="000000" w:themeColor="text1"/>
          <w:sz w:val="32"/>
          <w:szCs w:val="32"/>
        </w:rPr>
        <mc:AlternateContent>
          <mc:Choice Requires="wps">
            <w:drawing>
              <wp:anchor distT="0" distB="0" distL="114300" distR="114300" simplePos="0" relativeHeight="251660288" behindDoc="0" locked="0" layoutInCell="1" allowOverlap="1">
                <wp:simplePos x="0" y="0"/>
                <wp:positionH relativeFrom="column">
                  <wp:posOffset>1348740</wp:posOffset>
                </wp:positionH>
                <wp:positionV relativeFrom="paragraph">
                  <wp:posOffset>8893810</wp:posOffset>
                </wp:positionV>
                <wp:extent cx="4853940" cy="15240"/>
                <wp:effectExtent l="0" t="0" r="22860" b="2286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w:pict>
              <v:shape w14:anchorId="16612EED" id="直接箭头连接符 4" o:spid="_x0000_s1026" type="#_x0000_t32" style="position:absolute;left:0;text-align:left;margin-left:106.2pt;margin-top:700.3pt;width:382.2pt;height:1.2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nWy5AEAAHQDAAAOAAAAZHJzL2Uyb0RvYy54bWysU8GO0zAQvSPxD5bvNE1p0W7UdA9dLZcF&#10;Ku3yAa7jJBaOxxq7TfoT/AASJ+DEcto7XwPLZzB2u4WFGyIHy/b4vZn3ZjI/GzrDtgq9BlvyfDTm&#10;TFkJlbZNyV9fXzw54cwHYSthwKqS75TnZ4vHj+a9K9QEWjCVQkYk1he9K3kbgiuyzMtWdcKPwClL&#10;wRqwE4GO2GQVip7YO5NNxuNnWQ9YOQSpvKfb832QLxJ/XSsZXtW1V4GZklNtIa2Y1nVcs8VcFA0K&#10;12p5KEP8QxWd0JaSHqnORRBsg/ovqk5LBA91GEnoMqhrLVXSQGry8R9qrlrhVNJC5nh3tMn/P1r5&#10;crtCpquSTzmzoqMW3b27/f72492Xm28fbn98fR/3nz+xabSqd74gxNKuMIqVg71ylyDfeGZh2Qrb&#10;qFTy9c4RTx4R2QNIPHhHCdf9C6jojdgESL4NNXaRkhxhQ2rP7tgeNQQm6XJ6Mnt6OqUuSorlswlt&#10;YwZR3IMd+vBcQcfipuQ+oNBNG5ZgLQ0CYJ5Sie2lD3vgPSBmtnChjaF7URjL+pKfziazBPBgdBWD&#10;MeaxWS8Nsq2IE5W+QxUPniFsbLVPYuzBhqh87+Eaqt0KYzg6Qq1NMg5jGGfn93N69etnWfwEAAD/&#10;/wMAUEsDBBQABgAIAAAAIQCcUngA4AAAAA0BAAAPAAAAZHJzL2Rvd25yZXYueG1sTI/NTsMwEITv&#10;SLyDtUhcELUTSn9CnKpC4sCRthJXN16SQLyOYqcJfXoWLuW4O6OZb/LN5Fpxwj40njQkMwUCqfS2&#10;oUrDYf9yvwIRoiFrWk+o4RsDbIrrq9xk1o/0hqddrASHUMiMhjrGLpMylDU6E2a+Q2Ltw/fORD77&#10;StrejBzuWpkqtZDONMQNtenwucbyazc4DRiGx0Rt1646vJ7Hu/f0/Dl2e61vb6btE4iIU7yY4Ref&#10;0aFgpqMfyAbRakiTdM5WFubcA4It6+WC1xz/Xg8KZJHL/yuKHwAAAP//AwBQSwECLQAUAAYACAAA&#10;ACEAtoM4kv4AAADhAQAAEwAAAAAAAAAAAAAAAAAAAAAAW0NvbnRlbnRfVHlwZXNdLnhtbFBLAQIt&#10;ABQABgAIAAAAIQA4/SH/1gAAAJQBAAALAAAAAAAAAAAAAAAAAC8BAABfcmVscy8ucmVsc1BLAQIt&#10;ABQABgAIAAAAIQDdRnWy5AEAAHQDAAAOAAAAAAAAAAAAAAAAAC4CAABkcnMvZTJvRG9jLnhtbFBL&#10;AQItABQABgAIAAAAIQCcUngA4AAAAA0BAAAPAAAAAAAAAAAAAAAAAD4EAABkcnMvZG93bnJldi54&#10;bWxQSwUGAAAAAAQABADzAAAASwUAAAAA&#10;"/>
            </w:pict>
          </mc:Fallback>
        </mc:AlternateContent>
      </w:r>
      <w:r>
        <w:rPr>
          <w:rFonts w:eastAsia="华文中宋"/>
          <w:bCs/>
          <w:color w:val="000000" w:themeColor="text1"/>
          <w:sz w:val="32"/>
          <w:szCs w:val="32"/>
        </w:rPr>
        <w:t>中</w:t>
      </w:r>
      <w:r>
        <w:rPr>
          <w:rFonts w:eastAsia="华文中宋"/>
          <w:bCs/>
          <w:color w:val="000000" w:themeColor="text1"/>
          <w:sz w:val="32"/>
          <w:szCs w:val="32"/>
        </w:rPr>
        <w:t xml:space="preserve"> </w:t>
      </w:r>
      <w:r>
        <w:rPr>
          <w:rFonts w:eastAsia="华文中宋"/>
          <w:bCs/>
          <w:color w:val="000000" w:themeColor="text1"/>
          <w:sz w:val="32"/>
          <w:szCs w:val="32"/>
        </w:rPr>
        <w:t>国</w:t>
      </w:r>
      <w:r>
        <w:rPr>
          <w:rFonts w:eastAsia="华文中宋"/>
          <w:bCs/>
          <w:color w:val="000000" w:themeColor="text1"/>
          <w:sz w:val="32"/>
          <w:szCs w:val="32"/>
        </w:rPr>
        <w:t xml:space="preserve"> </w:t>
      </w:r>
      <w:r>
        <w:rPr>
          <w:rFonts w:eastAsia="华文中宋"/>
          <w:bCs/>
          <w:color w:val="000000" w:themeColor="text1"/>
          <w:sz w:val="32"/>
          <w:szCs w:val="32"/>
        </w:rPr>
        <w:t>绿</w:t>
      </w:r>
      <w:r>
        <w:rPr>
          <w:rFonts w:eastAsia="华文中宋"/>
          <w:bCs/>
          <w:color w:val="000000" w:themeColor="text1"/>
          <w:sz w:val="32"/>
          <w:szCs w:val="32"/>
        </w:rPr>
        <w:t xml:space="preserve"> </w:t>
      </w:r>
      <w:r>
        <w:rPr>
          <w:rFonts w:eastAsia="华文中宋"/>
          <w:bCs/>
          <w:color w:val="000000" w:themeColor="text1"/>
          <w:sz w:val="32"/>
          <w:szCs w:val="32"/>
        </w:rPr>
        <w:t>色</w:t>
      </w:r>
      <w:r>
        <w:rPr>
          <w:rFonts w:eastAsia="华文中宋"/>
          <w:bCs/>
          <w:color w:val="000000" w:themeColor="text1"/>
          <w:sz w:val="32"/>
          <w:szCs w:val="32"/>
        </w:rPr>
        <w:t xml:space="preserve"> </w:t>
      </w:r>
      <w:r>
        <w:rPr>
          <w:rFonts w:eastAsia="华文中宋"/>
          <w:bCs/>
          <w:color w:val="000000" w:themeColor="text1"/>
          <w:sz w:val="32"/>
          <w:szCs w:val="32"/>
        </w:rPr>
        <w:t>食</w:t>
      </w:r>
      <w:r>
        <w:rPr>
          <w:rFonts w:eastAsia="华文中宋"/>
          <w:bCs/>
          <w:color w:val="000000" w:themeColor="text1"/>
          <w:sz w:val="32"/>
          <w:szCs w:val="32"/>
        </w:rPr>
        <w:t xml:space="preserve"> </w:t>
      </w:r>
      <w:r>
        <w:rPr>
          <w:rFonts w:eastAsia="华文中宋"/>
          <w:bCs/>
          <w:color w:val="000000" w:themeColor="text1"/>
          <w:sz w:val="32"/>
          <w:szCs w:val="32"/>
        </w:rPr>
        <w:t>品</w:t>
      </w:r>
      <w:r>
        <w:rPr>
          <w:rFonts w:eastAsia="华文中宋"/>
          <w:bCs/>
          <w:color w:val="000000" w:themeColor="text1"/>
          <w:sz w:val="32"/>
          <w:szCs w:val="32"/>
        </w:rPr>
        <w:t xml:space="preserve"> </w:t>
      </w:r>
      <w:r>
        <w:rPr>
          <w:rFonts w:eastAsia="华文中宋"/>
          <w:bCs/>
          <w:color w:val="000000" w:themeColor="text1"/>
          <w:sz w:val="32"/>
          <w:szCs w:val="32"/>
        </w:rPr>
        <w:t>发</w:t>
      </w:r>
      <w:r>
        <w:rPr>
          <w:rFonts w:eastAsia="华文中宋"/>
          <w:bCs/>
          <w:color w:val="000000" w:themeColor="text1"/>
          <w:sz w:val="32"/>
          <w:szCs w:val="32"/>
        </w:rPr>
        <w:t xml:space="preserve"> </w:t>
      </w:r>
      <w:r>
        <w:rPr>
          <w:rFonts w:eastAsia="华文中宋"/>
          <w:bCs/>
          <w:color w:val="000000" w:themeColor="text1"/>
          <w:sz w:val="32"/>
          <w:szCs w:val="32"/>
        </w:rPr>
        <w:t>展</w:t>
      </w:r>
      <w:r>
        <w:rPr>
          <w:rFonts w:eastAsia="华文中宋"/>
          <w:bCs/>
          <w:color w:val="000000" w:themeColor="text1"/>
          <w:sz w:val="32"/>
          <w:szCs w:val="32"/>
        </w:rPr>
        <w:t xml:space="preserve"> </w:t>
      </w:r>
      <w:r>
        <w:rPr>
          <w:rFonts w:eastAsia="华文中宋"/>
          <w:bCs/>
          <w:color w:val="000000" w:themeColor="text1"/>
          <w:sz w:val="32"/>
          <w:szCs w:val="32"/>
        </w:rPr>
        <w:t>中</w:t>
      </w:r>
      <w:r>
        <w:rPr>
          <w:rFonts w:eastAsia="华文中宋"/>
          <w:bCs/>
          <w:color w:val="000000" w:themeColor="text1"/>
          <w:sz w:val="32"/>
          <w:szCs w:val="32"/>
        </w:rPr>
        <w:t xml:space="preserve"> </w:t>
      </w:r>
      <w:r>
        <w:rPr>
          <w:rFonts w:eastAsia="华文中宋"/>
          <w:bCs/>
          <w:color w:val="000000" w:themeColor="text1"/>
          <w:sz w:val="32"/>
          <w:szCs w:val="32"/>
        </w:rPr>
        <w:t>心</w:t>
      </w:r>
      <w:r>
        <w:rPr>
          <w:b/>
          <w:color w:val="000000" w:themeColor="text1"/>
          <w:sz w:val="32"/>
          <w:szCs w:val="32"/>
        </w:rPr>
        <w:t xml:space="preserve"> </w:t>
      </w:r>
      <w:r>
        <w:rPr>
          <w:rFonts w:eastAsia="黑体"/>
          <w:b/>
          <w:color w:val="000000" w:themeColor="text1"/>
          <w:sz w:val="28"/>
          <w:szCs w:val="28"/>
        </w:rPr>
        <w:t xml:space="preserve"> </w:t>
      </w:r>
      <w:r>
        <w:rPr>
          <w:rFonts w:eastAsia="黑体"/>
          <w:bCs/>
          <w:color w:val="000000" w:themeColor="text1"/>
          <w:sz w:val="28"/>
          <w:szCs w:val="28"/>
        </w:rPr>
        <w:t>发</w:t>
      </w:r>
      <w:r>
        <w:rPr>
          <w:rFonts w:eastAsia="黑体"/>
          <w:bCs/>
          <w:color w:val="000000" w:themeColor="text1"/>
          <w:sz w:val="28"/>
          <w:szCs w:val="28"/>
        </w:rPr>
        <w:t xml:space="preserve"> </w:t>
      </w:r>
      <w:r>
        <w:rPr>
          <w:rFonts w:eastAsia="黑体"/>
          <w:bCs/>
          <w:color w:val="000000" w:themeColor="text1"/>
          <w:sz w:val="28"/>
          <w:szCs w:val="28"/>
        </w:rPr>
        <w:t>布</w:t>
      </w:r>
    </w:p>
    <w:p w14:paraId="621753D4" w14:textId="77777777" w:rsidR="00E45340" w:rsidRDefault="00E45340">
      <w:pPr>
        <w:ind w:firstLine="720"/>
        <w:rPr>
          <w:rFonts w:ascii="Times New Roman" w:eastAsiaTheme="majorEastAsia" w:hAnsi="Times New Roman" w:cs="Times New Roman"/>
          <w:bCs/>
          <w:color w:val="000000" w:themeColor="text1"/>
          <w:kern w:val="21"/>
          <w:sz w:val="36"/>
          <w:szCs w:val="36"/>
        </w:rPr>
        <w:sectPr w:rsidR="00E45340">
          <w:headerReference w:type="even" r:id="rId7"/>
          <w:headerReference w:type="default" r:id="rId8"/>
          <w:footerReference w:type="even" r:id="rId9"/>
          <w:footerReference w:type="default" r:id="rId10"/>
          <w:headerReference w:type="first" r:id="rId11"/>
          <w:footerReference w:type="first" r:id="rId12"/>
          <w:pgSz w:w="11906" w:h="16838"/>
          <w:pgMar w:top="1440" w:right="1814" w:bottom="1440" w:left="1814" w:header="851" w:footer="992" w:gutter="0"/>
          <w:cols w:space="0"/>
          <w:docGrid w:type="lines" w:linePitch="312"/>
        </w:sectPr>
      </w:pPr>
    </w:p>
    <w:p w14:paraId="33F7C6E8" w14:textId="77777777" w:rsidR="00E45340" w:rsidRDefault="00166EB0">
      <w:pPr>
        <w:pStyle w:val="10"/>
        <w:spacing w:beforeLines="200" w:before="624" w:afterLines="100" w:after="312"/>
        <w:ind w:firstLineChars="0" w:firstLine="0"/>
        <w:jc w:val="center"/>
        <w:rPr>
          <w:b/>
          <w:color w:val="000000" w:themeColor="text1"/>
          <w:sz w:val="32"/>
          <w:szCs w:val="32"/>
        </w:rPr>
      </w:pPr>
      <w:r>
        <w:rPr>
          <w:rFonts w:eastAsia="黑体"/>
          <w:bCs/>
          <w:color w:val="000000" w:themeColor="text1"/>
          <w:sz w:val="32"/>
          <w:szCs w:val="32"/>
        </w:rPr>
        <w:lastRenderedPageBreak/>
        <w:t>前</w:t>
      </w:r>
      <w:r>
        <w:rPr>
          <w:rFonts w:eastAsia="黑体"/>
          <w:bCs/>
          <w:color w:val="000000" w:themeColor="text1"/>
          <w:sz w:val="32"/>
          <w:szCs w:val="32"/>
        </w:rPr>
        <w:t xml:space="preserve">  </w:t>
      </w:r>
      <w:r>
        <w:rPr>
          <w:rFonts w:eastAsia="黑体"/>
          <w:bCs/>
          <w:color w:val="000000" w:themeColor="text1"/>
          <w:sz w:val="32"/>
          <w:szCs w:val="32"/>
        </w:rPr>
        <w:t>言</w:t>
      </w:r>
    </w:p>
    <w:p w14:paraId="724493B7" w14:textId="77777777" w:rsidR="00E45340" w:rsidRDefault="00166EB0">
      <w:pPr>
        <w:pStyle w:val="10"/>
        <w:jc w:val="left"/>
      </w:pPr>
      <w:r>
        <w:t>本</w:t>
      </w:r>
      <w:r>
        <w:rPr>
          <w:rFonts w:hint="eastAsia"/>
        </w:rPr>
        <w:t>文件</w:t>
      </w:r>
      <w:r>
        <w:t>由中国绿色食品发展中心</w:t>
      </w:r>
      <w:r>
        <w:rPr>
          <w:rFonts w:hint="eastAsia"/>
        </w:rPr>
        <w:t>设计、</w:t>
      </w:r>
      <w:r>
        <w:t>审核并归口。</w:t>
      </w:r>
    </w:p>
    <w:p w14:paraId="4BE3BACE" w14:textId="77777777" w:rsidR="00E45340" w:rsidRDefault="00166EB0">
      <w:pPr>
        <w:pStyle w:val="10"/>
        <w:jc w:val="left"/>
      </w:pPr>
      <w:r>
        <w:t>本</w:t>
      </w:r>
      <w:r>
        <w:rPr>
          <w:rFonts w:hint="eastAsia"/>
        </w:rPr>
        <w:t>文件</w:t>
      </w:r>
      <w:r>
        <w:t>起草单位：中国农业大学</w:t>
      </w:r>
      <w:r>
        <w:rPr>
          <w:rFonts w:hint="eastAsia"/>
        </w:rPr>
        <w:t>、中国绿色食品发展中心、新疆维吾尔自治区农业科学院。</w:t>
      </w:r>
    </w:p>
    <w:p w14:paraId="7A825D41" w14:textId="77777777" w:rsidR="00E45340" w:rsidRDefault="00166EB0">
      <w:pPr>
        <w:pStyle w:val="10"/>
        <w:jc w:val="left"/>
        <w:rPr>
          <w:rFonts w:eastAsiaTheme="majorEastAsia"/>
          <w:color w:val="000000" w:themeColor="text1"/>
          <w:kern w:val="21"/>
        </w:rPr>
        <w:sectPr w:rsidR="00E45340">
          <w:headerReference w:type="even" r:id="rId13"/>
          <w:headerReference w:type="default" r:id="rId14"/>
          <w:footerReference w:type="default" r:id="rId15"/>
          <w:headerReference w:type="first" r:id="rId16"/>
          <w:pgSz w:w="11906" w:h="16838"/>
          <w:pgMar w:top="1440" w:right="1814" w:bottom="1440" w:left="1814" w:header="851" w:footer="992" w:gutter="0"/>
          <w:pgNumType w:fmt="upperRoman"/>
          <w:cols w:space="0"/>
          <w:docGrid w:type="lines" w:linePitch="312"/>
        </w:sectPr>
      </w:pPr>
      <w:r>
        <w:t>本</w:t>
      </w:r>
      <w:r>
        <w:rPr>
          <w:rFonts w:hint="eastAsia"/>
        </w:rPr>
        <w:t>文件</w:t>
      </w:r>
      <w:r>
        <w:t>主要起草人：</w:t>
      </w:r>
      <w:r>
        <w:rPr>
          <w:rFonts w:eastAsiaTheme="majorEastAsia"/>
          <w:color w:val="000000" w:themeColor="text1"/>
          <w:kern w:val="21"/>
        </w:rPr>
        <w:t>廖小军、饶雷、</w:t>
      </w:r>
      <w:r>
        <w:rPr>
          <w:rFonts w:eastAsiaTheme="majorEastAsia" w:hint="eastAsia"/>
          <w:color w:val="000000" w:themeColor="text1"/>
          <w:kern w:val="21"/>
        </w:rPr>
        <w:t>宋晓、张婷、马雪、</w:t>
      </w:r>
      <w:r>
        <w:rPr>
          <w:rFonts w:eastAsiaTheme="majorEastAsia"/>
          <w:color w:val="000000" w:themeColor="text1"/>
          <w:kern w:val="21"/>
        </w:rPr>
        <w:t>吕祺</w:t>
      </w:r>
      <w:r>
        <w:rPr>
          <w:rFonts w:eastAsiaTheme="majorEastAsia" w:hint="eastAsia"/>
          <w:color w:val="000000" w:themeColor="text1"/>
          <w:kern w:val="21"/>
        </w:rPr>
        <w:t>。</w:t>
      </w:r>
    </w:p>
    <w:p w14:paraId="76408072" w14:textId="77777777" w:rsidR="00E45340" w:rsidRDefault="00166EB0">
      <w:pPr>
        <w:spacing w:beforeLines="100" w:before="312" w:afterLines="100" w:after="312"/>
        <w:ind w:firstLineChars="0" w:firstLine="0"/>
        <w:jc w:val="center"/>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lastRenderedPageBreak/>
        <w:t>绿色食品橙汁加工规程</w:t>
      </w:r>
    </w:p>
    <w:p w14:paraId="238C7CBE" w14:textId="77777777" w:rsidR="00E45340" w:rsidRDefault="00166EB0">
      <w:pPr>
        <w:pStyle w:val="1"/>
      </w:pPr>
      <w:r>
        <w:t xml:space="preserve">1  </w:t>
      </w:r>
      <w:r>
        <w:t>范围</w:t>
      </w:r>
    </w:p>
    <w:p w14:paraId="5F9A4B14" w14:textId="77777777" w:rsidR="00E45340" w:rsidRDefault="00166EB0">
      <w:pPr>
        <w:pStyle w:val="a5"/>
        <w:ind w:firstLine="420"/>
      </w:pPr>
      <w:r>
        <w:t>本</w:t>
      </w:r>
      <w:r>
        <w:rPr>
          <w:rFonts w:hint="eastAsia"/>
          <w:lang w:eastAsia="zh-CN"/>
        </w:rPr>
        <w:t>文件</w:t>
      </w:r>
      <w:r>
        <w:t>规定了绿色食品橙汁的生产过程要求、原料要求、工艺流程</w:t>
      </w:r>
      <w:r>
        <w:rPr>
          <w:rFonts w:hint="eastAsia"/>
          <w:lang w:eastAsia="zh-CN"/>
        </w:rPr>
        <w:t>及操作</w:t>
      </w:r>
      <w:r>
        <w:t>方法、平行生产管理、</w:t>
      </w:r>
      <w:r>
        <w:rPr>
          <w:rFonts w:hint="eastAsia"/>
          <w:lang w:eastAsia="zh-CN"/>
        </w:rPr>
        <w:t>加工</w:t>
      </w:r>
      <w:r>
        <w:rPr>
          <w:lang w:eastAsia="zh-CN"/>
        </w:rPr>
        <w:t>过程</w:t>
      </w:r>
      <w:r>
        <w:rPr>
          <w:rFonts w:hint="eastAsia"/>
          <w:lang w:eastAsia="zh-CN"/>
        </w:rPr>
        <w:t>管理</w:t>
      </w:r>
      <w:r>
        <w:rPr>
          <w:lang w:eastAsia="zh-CN"/>
        </w:rPr>
        <w:t>、</w:t>
      </w:r>
      <w:r>
        <w:t>包装标识、运输与储藏、生产废弃物处理和生产档案管理等要求。</w:t>
      </w:r>
    </w:p>
    <w:p w14:paraId="3D3F3819" w14:textId="77777777" w:rsidR="00E45340" w:rsidRDefault="00166EB0">
      <w:pPr>
        <w:pStyle w:val="a5"/>
        <w:ind w:firstLine="420"/>
      </w:pPr>
      <w:r>
        <w:t>本</w:t>
      </w:r>
      <w:r>
        <w:rPr>
          <w:rFonts w:hint="eastAsia"/>
          <w:lang w:eastAsia="zh-CN"/>
        </w:rPr>
        <w:t>文件</w:t>
      </w:r>
      <w:r>
        <w:t>适用于绿色食品非浓缩还原橙汁的加工。</w:t>
      </w:r>
    </w:p>
    <w:p w14:paraId="3D57FE42" w14:textId="77777777" w:rsidR="00E45340" w:rsidRDefault="00166EB0">
      <w:pPr>
        <w:pStyle w:val="1"/>
      </w:pPr>
      <w:r>
        <w:t xml:space="preserve">2  </w:t>
      </w:r>
      <w:r>
        <w:t>规范性引用文件</w:t>
      </w:r>
    </w:p>
    <w:p w14:paraId="73C20862" w14:textId="77777777" w:rsidR="00E45340" w:rsidRDefault="00166EB0">
      <w:pPr>
        <w:pStyle w:val="a5"/>
        <w:ind w:firstLine="420"/>
      </w:pPr>
      <w:r>
        <w:rPr>
          <w:lang w:val="en-US" w:eastAsia="zh-CN" w:bidi="ar"/>
        </w:rPr>
        <w:t>下列文件中的内容通过文中的规范性引用而构成本</w:t>
      </w:r>
      <w:r>
        <w:rPr>
          <w:rFonts w:hint="eastAsia"/>
        </w:rPr>
        <w:t>文件</w:t>
      </w:r>
      <w:r>
        <w:rPr>
          <w:lang w:val="en-US" w:eastAsia="zh-CN" w:bidi="ar"/>
        </w:rPr>
        <w:t>必不可少的条款。其中，注日期的引用文件，仅该日期的版本适用于本</w:t>
      </w:r>
      <w:r>
        <w:rPr>
          <w:rFonts w:hint="eastAsia"/>
        </w:rPr>
        <w:t>文件</w:t>
      </w:r>
      <w:r>
        <w:rPr>
          <w:lang w:val="en-US" w:eastAsia="zh-CN" w:bidi="ar"/>
        </w:rPr>
        <w:t>。不注日期的引用文件，其最新版本（包括所有的修改单）适用于本</w:t>
      </w:r>
      <w:r>
        <w:rPr>
          <w:rFonts w:hint="eastAsia"/>
        </w:rPr>
        <w:t>文件</w:t>
      </w:r>
      <w:r>
        <w:rPr>
          <w:lang w:val="en-US" w:eastAsia="zh-CN" w:bidi="ar"/>
        </w:rPr>
        <w:t>。</w:t>
      </w:r>
    </w:p>
    <w:p w14:paraId="75C892B5" w14:textId="77777777" w:rsidR="00E45340" w:rsidRDefault="00166EB0">
      <w:pPr>
        <w:pStyle w:val="a5"/>
        <w:ind w:firstLine="420"/>
      </w:pPr>
      <w:r>
        <w:t xml:space="preserve">GB 2760  </w:t>
      </w:r>
      <w:r>
        <w:t>食品安全国家标准</w:t>
      </w:r>
      <w:r>
        <w:t xml:space="preserve"> </w:t>
      </w:r>
      <w:r>
        <w:t>食品添加剂使用准则</w:t>
      </w:r>
    </w:p>
    <w:p w14:paraId="2AB11461" w14:textId="77777777" w:rsidR="00E45340" w:rsidRDefault="00166EB0">
      <w:pPr>
        <w:pStyle w:val="a5"/>
        <w:ind w:firstLine="420"/>
      </w:pPr>
      <w:r>
        <w:t xml:space="preserve">GB 2761  </w:t>
      </w:r>
      <w:r>
        <w:t>食品安全国家标准</w:t>
      </w:r>
      <w:r>
        <w:t xml:space="preserve"> </w:t>
      </w:r>
      <w:r>
        <w:t>食品中真菌毒素限量</w:t>
      </w:r>
    </w:p>
    <w:p w14:paraId="666792FF" w14:textId="77777777" w:rsidR="00E45340" w:rsidRDefault="00166EB0">
      <w:pPr>
        <w:pStyle w:val="a5"/>
        <w:ind w:firstLine="420"/>
      </w:pPr>
      <w:r>
        <w:t xml:space="preserve">GB 2762  </w:t>
      </w:r>
      <w:r>
        <w:t>食品安全国家标准</w:t>
      </w:r>
      <w:r>
        <w:t xml:space="preserve"> </w:t>
      </w:r>
      <w:r>
        <w:t>食品中污染物限量</w:t>
      </w:r>
    </w:p>
    <w:p w14:paraId="2E7F1E99" w14:textId="77777777" w:rsidR="00E45340" w:rsidRDefault="00166EB0">
      <w:pPr>
        <w:pStyle w:val="a5"/>
        <w:ind w:firstLine="420"/>
      </w:pPr>
      <w:r>
        <w:t xml:space="preserve">GB 2763  </w:t>
      </w:r>
      <w:r>
        <w:t>食品安全国家标准</w:t>
      </w:r>
      <w:r>
        <w:t xml:space="preserve"> </w:t>
      </w:r>
      <w:r>
        <w:t>食品中农药最大残留限量</w:t>
      </w:r>
    </w:p>
    <w:p w14:paraId="5DC5A4E1" w14:textId="77777777" w:rsidR="00E45340" w:rsidRDefault="00166EB0">
      <w:pPr>
        <w:pStyle w:val="a5"/>
        <w:ind w:firstLine="420"/>
      </w:pPr>
      <w:r>
        <w:t xml:space="preserve">GB 5749  </w:t>
      </w:r>
      <w:r>
        <w:t>生活饮用水卫生标准</w:t>
      </w:r>
    </w:p>
    <w:p w14:paraId="025328A7" w14:textId="77777777" w:rsidR="00E45340" w:rsidRDefault="00166EB0">
      <w:pPr>
        <w:pStyle w:val="a5"/>
        <w:ind w:firstLine="420"/>
      </w:pPr>
      <w:r>
        <w:t xml:space="preserve">GB 7718  </w:t>
      </w:r>
      <w:r>
        <w:t>食品安全国家标准</w:t>
      </w:r>
      <w:r>
        <w:t xml:space="preserve"> </w:t>
      </w:r>
      <w:r>
        <w:t>预包装食品标签通则</w:t>
      </w:r>
    </w:p>
    <w:p w14:paraId="4B4B4B22" w14:textId="77777777" w:rsidR="00E45340" w:rsidRDefault="00166EB0">
      <w:pPr>
        <w:pStyle w:val="a5"/>
        <w:ind w:firstLine="420"/>
      </w:pPr>
      <w:r>
        <w:t xml:space="preserve">GB 14881  </w:t>
      </w:r>
      <w:r>
        <w:t>食品安全国家标准</w:t>
      </w:r>
      <w:r>
        <w:t xml:space="preserve"> </w:t>
      </w:r>
      <w:r>
        <w:t>食品生产通用卫生</w:t>
      </w:r>
      <w:r>
        <w:t>规范</w:t>
      </w:r>
    </w:p>
    <w:p w14:paraId="228E4799" w14:textId="77777777" w:rsidR="00E45340" w:rsidRDefault="00166EB0">
      <w:pPr>
        <w:pStyle w:val="a5"/>
        <w:ind w:firstLine="420"/>
      </w:pPr>
      <w:r>
        <w:t xml:space="preserve">GB 14930.1  </w:t>
      </w:r>
      <w:r>
        <w:t>食品安全国家标准</w:t>
      </w:r>
      <w:r>
        <w:t xml:space="preserve"> </w:t>
      </w:r>
      <w:r>
        <w:t>洗涤剂</w:t>
      </w:r>
    </w:p>
    <w:p w14:paraId="475D86CF" w14:textId="77777777" w:rsidR="00E45340" w:rsidRDefault="00166EB0">
      <w:pPr>
        <w:pStyle w:val="a5"/>
        <w:ind w:firstLine="420"/>
      </w:pPr>
      <w:r>
        <w:t xml:space="preserve">GB/T 31121  </w:t>
      </w:r>
      <w:r>
        <w:t>果蔬汁类及其饮料（含第</w:t>
      </w:r>
      <w:r>
        <w:t>1</w:t>
      </w:r>
      <w:r>
        <w:t>号修改单）</w:t>
      </w:r>
    </w:p>
    <w:p w14:paraId="6A097EF3" w14:textId="77777777" w:rsidR="00E45340" w:rsidRDefault="00166EB0">
      <w:pPr>
        <w:pStyle w:val="a5"/>
        <w:ind w:firstLine="420"/>
      </w:pPr>
      <w:r>
        <w:t xml:space="preserve">GB/T 42546  </w:t>
      </w:r>
      <w:r>
        <w:t>农业废弃物资源化利用</w:t>
      </w:r>
      <w:r>
        <w:t xml:space="preserve"> </w:t>
      </w:r>
      <w:r>
        <w:t>农产品加工废弃物再生利用</w:t>
      </w:r>
    </w:p>
    <w:p w14:paraId="0958229F" w14:textId="77777777" w:rsidR="00E45340" w:rsidRDefault="00166EB0">
      <w:pPr>
        <w:pStyle w:val="a5"/>
        <w:ind w:firstLine="420"/>
      </w:pPr>
      <w:r>
        <w:t xml:space="preserve">NY/T 391  </w:t>
      </w:r>
      <w:r>
        <w:t>绿色食品</w:t>
      </w:r>
      <w:r>
        <w:t xml:space="preserve"> </w:t>
      </w:r>
      <w:r>
        <w:t>产地环境质量</w:t>
      </w:r>
    </w:p>
    <w:p w14:paraId="1534E849" w14:textId="77777777" w:rsidR="00E45340" w:rsidRDefault="00166EB0">
      <w:pPr>
        <w:pStyle w:val="a5"/>
        <w:ind w:firstLine="420"/>
      </w:pPr>
      <w:r>
        <w:t xml:space="preserve">NY/T 392  </w:t>
      </w:r>
      <w:r>
        <w:t>绿色食品</w:t>
      </w:r>
      <w:r>
        <w:t xml:space="preserve"> </w:t>
      </w:r>
      <w:r>
        <w:t>食品添加剂使用准则</w:t>
      </w:r>
    </w:p>
    <w:p w14:paraId="29BFE6AD" w14:textId="77777777" w:rsidR="00E45340" w:rsidRDefault="00166EB0">
      <w:pPr>
        <w:pStyle w:val="a5"/>
        <w:ind w:firstLine="420"/>
      </w:pPr>
      <w:r>
        <w:t xml:space="preserve">NY/T 426  </w:t>
      </w:r>
      <w:r>
        <w:t>绿色食品</w:t>
      </w:r>
      <w:r>
        <w:t xml:space="preserve"> </w:t>
      </w:r>
      <w:r>
        <w:t>柑橘类水果</w:t>
      </w:r>
    </w:p>
    <w:p w14:paraId="4201507E" w14:textId="77777777" w:rsidR="00E45340" w:rsidRDefault="00166EB0">
      <w:pPr>
        <w:pStyle w:val="a5"/>
        <w:ind w:firstLine="420"/>
      </w:pPr>
      <w:r>
        <w:t xml:space="preserve">NY/T 658  </w:t>
      </w:r>
      <w:r>
        <w:t>绿色食品</w:t>
      </w:r>
      <w:r>
        <w:t xml:space="preserve"> </w:t>
      </w:r>
      <w:r>
        <w:t>包装通用准则</w:t>
      </w:r>
    </w:p>
    <w:p w14:paraId="4779BCDA" w14:textId="77777777" w:rsidR="00E45340" w:rsidRDefault="00166EB0">
      <w:pPr>
        <w:pStyle w:val="a5"/>
        <w:ind w:firstLine="420"/>
      </w:pPr>
      <w:r>
        <w:t xml:space="preserve">NY/T 896  </w:t>
      </w:r>
      <w:r>
        <w:t>绿色食品</w:t>
      </w:r>
      <w:r>
        <w:t xml:space="preserve"> </w:t>
      </w:r>
      <w:r>
        <w:t>产品抽样准则</w:t>
      </w:r>
    </w:p>
    <w:p w14:paraId="244ED130" w14:textId="77777777" w:rsidR="00E45340" w:rsidRDefault="00166EB0">
      <w:pPr>
        <w:pStyle w:val="a5"/>
        <w:ind w:firstLine="420"/>
      </w:pPr>
      <w:r>
        <w:t xml:space="preserve">NY/T 1055  </w:t>
      </w:r>
      <w:r>
        <w:t>绿色食品</w:t>
      </w:r>
      <w:r>
        <w:t xml:space="preserve"> </w:t>
      </w:r>
      <w:r>
        <w:t>产品检验规则</w:t>
      </w:r>
    </w:p>
    <w:p w14:paraId="074E25BA" w14:textId="77777777" w:rsidR="00E45340" w:rsidRDefault="00166EB0">
      <w:pPr>
        <w:pStyle w:val="a5"/>
        <w:ind w:firstLine="420"/>
      </w:pPr>
      <w:r>
        <w:t xml:space="preserve">NY/T 1056  </w:t>
      </w:r>
      <w:r>
        <w:t>绿色食品</w:t>
      </w:r>
      <w:r>
        <w:t xml:space="preserve"> </w:t>
      </w:r>
      <w:r>
        <w:t>储藏运输准则</w:t>
      </w:r>
    </w:p>
    <w:p w14:paraId="2DEA8EEB" w14:textId="77777777" w:rsidR="00E45340" w:rsidRDefault="00166EB0">
      <w:pPr>
        <w:pStyle w:val="a5"/>
        <w:ind w:firstLine="420"/>
      </w:pPr>
      <w:r>
        <w:t>NY/T</w:t>
      </w:r>
      <w:r>
        <w:t xml:space="preserve"> 2276  </w:t>
      </w:r>
      <w:r>
        <w:t>制汁甜橙</w:t>
      </w:r>
    </w:p>
    <w:p w14:paraId="5C09F941" w14:textId="77777777" w:rsidR="00E45340" w:rsidRDefault="00166EB0">
      <w:pPr>
        <w:pStyle w:val="1"/>
      </w:pPr>
      <w:r>
        <w:t xml:space="preserve">3  </w:t>
      </w:r>
      <w:r>
        <w:t>术语和定义</w:t>
      </w:r>
    </w:p>
    <w:p w14:paraId="05AC24A8" w14:textId="77777777" w:rsidR="00E45340" w:rsidRDefault="00166EB0">
      <w:pPr>
        <w:pStyle w:val="10"/>
        <w:rPr>
          <w:color w:val="000000" w:themeColor="text1"/>
        </w:rPr>
      </w:pPr>
      <w:r>
        <w:rPr>
          <w:color w:val="000000" w:themeColor="text1"/>
        </w:rPr>
        <w:t>GB/T 31121</w:t>
      </w:r>
      <w:r>
        <w:rPr>
          <w:color w:val="000000" w:themeColor="text1"/>
        </w:rPr>
        <w:t>界定的术语和定义适用于本文件。</w:t>
      </w:r>
    </w:p>
    <w:p w14:paraId="3807060B" w14:textId="77777777" w:rsidR="00E45340" w:rsidRDefault="00166EB0">
      <w:pPr>
        <w:pStyle w:val="1"/>
      </w:pPr>
      <w:r>
        <w:t xml:space="preserve">4  </w:t>
      </w:r>
      <w:r>
        <w:t>生产过程要求</w:t>
      </w:r>
    </w:p>
    <w:p w14:paraId="007F92A4" w14:textId="77777777" w:rsidR="00E45340" w:rsidRDefault="00166EB0">
      <w:pPr>
        <w:pStyle w:val="2"/>
        <w:rPr>
          <w:rFonts w:hint="default"/>
        </w:rPr>
      </w:pPr>
      <w:r>
        <w:rPr>
          <w:rFonts w:hint="default"/>
        </w:rPr>
        <w:t xml:space="preserve">4.1  </w:t>
      </w:r>
      <w:r>
        <w:rPr>
          <w:rFonts w:hint="default"/>
        </w:rPr>
        <w:t>选址及厂区环境</w:t>
      </w:r>
    </w:p>
    <w:p w14:paraId="39294B5C" w14:textId="77777777" w:rsidR="00E45340" w:rsidRDefault="00166EB0">
      <w:pPr>
        <w:pStyle w:val="a5"/>
        <w:ind w:firstLine="420"/>
      </w:pPr>
      <w:r>
        <w:lastRenderedPageBreak/>
        <w:t>绿色食品橙汁的加工工厂选址和厂区环境应符合</w:t>
      </w:r>
      <w:r>
        <w:t>GB 14881</w:t>
      </w:r>
      <w:r>
        <w:t>和</w:t>
      </w:r>
      <w:r>
        <w:t>NY/T 391</w:t>
      </w:r>
      <w:r>
        <w:t>的相关规定。</w:t>
      </w:r>
      <w:r>
        <w:rPr>
          <w:rFonts w:hint="eastAsia"/>
          <w:lang w:eastAsia="zh-CN"/>
        </w:rPr>
        <w:t>工厂</w:t>
      </w:r>
      <w:r>
        <w:rPr>
          <w:rFonts w:hint="eastAsia"/>
        </w:rPr>
        <w:t>应选择生态环境良好、无污染的地区，远离工矿区、公路铁路干线和生活区，避开污染源。</w:t>
      </w:r>
      <w:r>
        <w:t>应进行全面的环境评估，确保选址对食品安全和产品品质无显著不利影响。</w:t>
      </w:r>
    </w:p>
    <w:p w14:paraId="003CE198" w14:textId="77777777" w:rsidR="00E45340" w:rsidRDefault="00166EB0">
      <w:pPr>
        <w:pStyle w:val="2"/>
        <w:rPr>
          <w:rFonts w:hint="default"/>
        </w:rPr>
      </w:pPr>
      <w:r>
        <w:rPr>
          <w:rFonts w:hint="default"/>
        </w:rPr>
        <w:t xml:space="preserve">4.2  </w:t>
      </w:r>
      <w:r>
        <w:rPr>
          <w:rFonts w:hint="default"/>
        </w:rPr>
        <w:t>厂房和车间</w:t>
      </w:r>
    </w:p>
    <w:p w14:paraId="3AA722A4" w14:textId="77777777" w:rsidR="00E45340" w:rsidRDefault="00166EB0">
      <w:pPr>
        <w:pStyle w:val="a5"/>
        <w:ind w:firstLine="420"/>
      </w:pPr>
      <w:r>
        <w:t>从事与绿色食品加工的厂房和车间要求应符合</w:t>
      </w:r>
      <w:r>
        <w:t>GB 14881</w:t>
      </w:r>
      <w:r>
        <w:t>规定。</w:t>
      </w:r>
      <w:r>
        <w:rPr>
          <w:rFonts w:cs="微软雅黑" w:hint="eastAsia"/>
          <w:kern w:val="0"/>
          <w:shd w:val="clear" w:color="auto" w:fill="FFFFFF"/>
          <w:lang w:bidi="ar"/>
        </w:rPr>
        <w:t>厂房和车间的内部设计和布局应满足食品卫生操作要求，避免食品生产中发生交叉污染。</w:t>
      </w:r>
      <w:r>
        <w:t>尽量减少人员出入，进入车间必须穿清洁工作服，戴无菌手套和口罩，并定期对车间进行消毒及紫外杀菌。</w:t>
      </w:r>
      <w:r>
        <w:rPr>
          <w:rFonts w:hint="eastAsia"/>
        </w:rPr>
        <w:t>内包装生产车间（即与食品直接接触的生产车间）应维持温度在</w:t>
      </w:r>
      <w:r>
        <w:rPr>
          <w:rFonts w:hint="eastAsia"/>
        </w:rPr>
        <w:t>18-25</w:t>
      </w:r>
      <w:r>
        <w:rPr>
          <w:rFonts w:hint="eastAsia"/>
        </w:rPr>
        <w:t>℃、湿度</w:t>
      </w:r>
      <w:r>
        <w:rPr>
          <w:rFonts w:hint="eastAsia"/>
        </w:rPr>
        <w:t>45%-65%RH</w:t>
      </w:r>
      <w:r>
        <w:rPr>
          <w:rFonts w:hint="eastAsia"/>
        </w:rPr>
        <w:t>。进入车间必须穿清洁工作服，戴口罩，并定期对车间进行消毒杀菌。</w:t>
      </w:r>
      <w:r>
        <w:rPr>
          <w:rFonts w:hint="eastAsia"/>
          <w:lang w:val="en-US" w:eastAsia="zh-CN"/>
        </w:rPr>
        <w:t>同时，</w:t>
      </w:r>
      <w:r>
        <w:t>应在绿色食品和常规生产区域之间设置有效的缓冲带或物理屏障，以防止绿色食品生产受到污染。</w:t>
      </w:r>
    </w:p>
    <w:p w14:paraId="38E8BDAE" w14:textId="77777777" w:rsidR="00E45340" w:rsidRDefault="00166EB0">
      <w:pPr>
        <w:pStyle w:val="2"/>
        <w:rPr>
          <w:rFonts w:hint="default"/>
        </w:rPr>
      </w:pPr>
      <w:r>
        <w:rPr>
          <w:rFonts w:hint="default"/>
        </w:rPr>
        <w:t xml:space="preserve">4.3  </w:t>
      </w:r>
      <w:r>
        <w:rPr>
          <w:rFonts w:hint="default"/>
        </w:rPr>
        <w:t>卫生要求</w:t>
      </w:r>
    </w:p>
    <w:p w14:paraId="53C184BE" w14:textId="77777777" w:rsidR="00E45340" w:rsidRDefault="00166EB0">
      <w:pPr>
        <w:pStyle w:val="a5"/>
        <w:ind w:firstLine="420"/>
      </w:pPr>
      <w:r>
        <w:t>按</w:t>
      </w:r>
      <w:r>
        <w:t xml:space="preserve"> GB 14881</w:t>
      </w:r>
      <w:r>
        <w:t>规定执行。所选设备应符合绿色食品加工要求，与被加工橙</w:t>
      </w:r>
      <w:r>
        <w:t>子、半成品橙汁、橙汁直接接触的零部件的材料必须选用无污染材料，与被加工橙子、半成品橙汁、橙汁直接接触的部位必须严禁漏油、渗油。车间明确划分预处理、生产和杀菌区域，车间入口安装防虫防蝇措施，如灭虫灯、风幕等。车间窗户采用双层设计，天花板具备防潮功能，地面设有适当坡度和排水沟，确保排水顺畅。</w:t>
      </w:r>
    </w:p>
    <w:p w14:paraId="420E4045" w14:textId="77777777" w:rsidR="00E45340" w:rsidRDefault="00166EB0">
      <w:pPr>
        <w:pStyle w:val="1"/>
      </w:pPr>
      <w:r>
        <w:t xml:space="preserve">5  </w:t>
      </w:r>
      <w:r>
        <w:t>原料要求</w:t>
      </w:r>
    </w:p>
    <w:p w14:paraId="37C46957" w14:textId="77777777" w:rsidR="00E45340" w:rsidRDefault="00166EB0">
      <w:pPr>
        <w:pStyle w:val="2"/>
        <w:rPr>
          <w:rFonts w:hint="default"/>
        </w:rPr>
      </w:pPr>
      <w:r>
        <w:rPr>
          <w:rFonts w:hint="default"/>
        </w:rPr>
        <w:t xml:space="preserve">5.1  </w:t>
      </w:r>
      <w:r>
        <w:rPr>
          <w:rFonts w:hint="default"/>
        </w:rPr>
        <w:t>原料</w:t>
      </w:r>
    </w:p>
    <w:p w14:paraId="0509F305" w14:textId="77777777" w:rsidR="00E45340" w:rsidRDefault="00166EB0">
      <w:pPr>
        <w:pStyle w:val="a5"/>
        <w:ind w:firstLine="420"/>
      </w:pPr>
      <w:r>
        <w:t>橙子应符合</w:t>
      </w:r>
      <w:r>
        <w:rPr>
          <w:color w:val="000000" w:themeColor="text1"/>
        </w:rPr>
        <w:t>NY/T 426</w:t>
      </w:r>
      <w:r>
        <w:t>及相关绿色食品标准的规定，橙子果实原料应新鲜、完好、成熟，其污染物限量和农药最大残留限量分别应符合</w:t>
      </w:r>
      <w:r>
        <w:t>GB 2761</w:t>
      </w:r>
      <w:r>
        <w:t>、</w:t>
      </w:r>
      <w:r>
        <w:t>GB 2762</w:t>
      </w:r>
      <w:r>
        <w:t>、</w:t>
      </w:r>
      <w:r>
        <w:t>GB 2763</w:t>
      </w:r>
      <w:r>
        <w:t>的规定。</w:t>
      </w:r>
      <w:r>
        <w:rPr>
          <w:rFonts w:cs="Times New Roman" w:hint="eastAsia"/>
        </w:rPr>
        <w:t>配料中至少</w:t>
      </w:r>
      <w:r>
        <w:rPr>
          <w:rFonts w:cs="Times New Roman"/>
        </w:rPr>
        <w:t>9</w:t>
      </w:r>
      <w:r>
        <w:rPr>
          <w:rFonts w:cs="Times New Roman"/>
        </w:rPr>
        <w:t>0%</w:t>
      </w:r>
      <w:r>
        <w:rPr>
          <w:rFonts w:cs="Times New Roman" w:hint="eastAsia"/>
        </w:rPr>
        <w:t>（含）以上原料应是通过认定的绿色食品及其副产品，或是按照绿色食品生产方式生产并经认定的原料基地生产的产品及其副产品。配料中其他</w:t>
      </w:r>
      <w:r>
        <w:rPr>
          <w:rFonts w:cs="Times New Roman"/>
        </w:rPr>
        <w:t>10%</w:t>
      </w:r>
      <w:r>
        <w:rPr>
          <w:rFonts w:cs="Times New Roman" w:hint="eastAsia"/>
        </w:rPr>
        <w:t>以下原料</w:t>
      </w:r>
      <w:r>
        <w:rPr>
          <w:rFonts w:cs="Times New Roman" w:hint="eastAsia"/>
          <w:lang w:eastAsia="zh-CN"/>
        </w:rPr>
        <w:t>还应</w:t>
      </w:r>
      <w:r>
        <w:rPr>
          <w:rFonts w:cs="Times New Roman"/>
          <w:lang w:eastAsia="zh-CN"/>
        </w:rPr>
        <w:t>符合</w:t>
      </w:r>
      <w:r>
        <w:rPr>
          <w:rFonts w:cs="Times New Roman" w:hint="eastAsia"/>
          <w:lang w:eastAsia="zh-CN"/>
        </w:rPr>
        <w:t>《绿色食品标志许可审查工作规范》第十三条的规定</w:t>
      </w:r>
      <w:r>
        <w:rPr>
          <w:rFonts w:cs="Times New Roman"/>
          <w:lang w:eastAsia="zh-CN"/>
        </w:rPr>
        <w:t>。</w:t>
      </w:r>
      <w:r>
        <w:t>不得混入掺假的、含杂质的以及品质变劣的原料。</w:t>
      </w:r>
    </w:p>
    <w:p w14:paraId="69BCB412" w14:textId="77777777" w:rsidR="00E45340" w:rsidRDefault="00166EB0">
      <w:pPr>
        <w:pStyle w:val="2"/>
        <w:rPr>
          <w:rFonts w:hint="default"/>
        </w:rPr>
      </w:pPr>
      <w:r>
        <w:rPr>
          <w:rFonts w:hint="default"/>
        </w:rPr>
        <w:t xml:space="preserve">5.2  </w:t>
      </w:r>
      <w:r>
        <w:rPr>
          <w:rFonts w:hint="default"/>
        </w:rPr>
        <w:t>食品添加剂</w:t>
      </w:r>
    </w:p>
    <w:p w14:paraId="07550BA8" w14:textId="77777777" w:rsidR="00E45340" w:rsidRDefault="00166EB0">
      <w:pPr>
        <w:pStyle w:val="a5"/>
        <w:ind w:firstLine="420"/>
      </w:pPr>
      <w:r>
        <w:t>应符合</w:t>
      </w:r>
      <w:r>
        <w:t>NY/T 392</w:t>
      </w:r>
      <w:r>
        <w:t>和</w:t>
      </w:r>
      <w:r>
        <w:rPr>
          <w:color w:val="000000" w:themeColor="text1"/>
        </w:rPr>
        <w:t>GB 2760</w:t>
      </w:r>
      <w:r>
        <w:t>的要求。在本产品的整个生产过程中，从原料定制、加工到最终成品，不允许添加任何食品添加剂、营养强化剂及加工助剂。产品中的香气物质和挥发性风味成分，应完全依靠原料的固有品质，并通过冷压榨等物理加工工艺自然保留。</w:t>
      </w:r>
      <w:r>
        <w:t>禁止以任何形式额外添加或补充香精、香料。产品中可见的果肉、囊胞等固形物，必须是通过破碎、筛分等物理方法从原料中直接获得的原生组分。禁止添加任何外源性果肉、果粒或用于调整感官性状的物质。</w:t>
      </w:r>
    </w:p>
    <w:p w14:paraId="64ACDBD5" w14:textId="77777777" w:rsidR="00E45340" w:rsidRDefault="00166EB0">
      <w:pPr>
        <w:pStyle w:val="2"/>
        <w:rPr>
          <w:rFonts w:hint="default"/>
        </w:rPr>
      </w:pPr>
      <w:r>
        <w:rPr>
          <w:rFonts w:hint="default"/>
        </w:rPr>
        <w:t xml:space="preserve">5.3  </w:t>
      </w:r>
      <w:r>
        <w:rPr>
          <w:rFonts w:hint="default"/>
        </w:rPr>
        <w:t>加工用水</w:t>
      </w:r>
    </w:p>
    <w:p w14:paraId="6332E736" w14:textId="77777777" w:rsidR="00E45340" w:rsidRDefault="00166EB0">
      <w:pPr>
        <w:pStyle w:val="a5"/>
        <w:ind w:firstLine="420"/>
      </w:pPr>
      <w:r>
        <w:t>按</w:t>
      </w:r>
      <w:r>
        <w:t>GB 5749</w:t>
      </w:r>
      <w:r>
        <w:t>规定执行并符合</w:t>
      </w:r>
      <w:r>
        <w:t xml:space="preserve"> NY/T 391</w:t>
      </w:r>
      <w:r>
        <w:t>的要求。</w:t>
      </w:r>
      <w:r>
        <w:rPr>
          <w:rFonts w:hint="eastAsia"/>
          <w:lang w:val="en-US" w:eastAsia="zh-CN"/>
        </w:rPr>
        <w:t>水源来自于公共供水系统或非公共供水系统的地下水、地表水等。</w:t>
      </w:r>
    </w:p>
    <w:p w14:paraId="7079E917" w14:textId="77777777" w:rsidR="00E45340" w:rsidRDefault="00E45340">
      <w:pPr>
        <w:pStyle w:val="a5"/>
        <w:ind w:firstLine="420"/>
      </w:pPr>
    </w:p>
    <w:p w14:paraId="3316BF4E" w14:textId="77777777" w:rsidR="00E45340" w:rsidRDefault="00166EB0">
      <w:pPr>
        <w:pStyle w:val="1"/>
      </w:pPr>
      <w:r>
        <w:t xml:space="preserve">6  </w:t>
      </w:r>
      <w:r>
        <w:t>生产工艺及操作方法</w:t>
      </w:r>
    </w:p>
    <w:p w14:paraId="0AB5CF35" w14:textId="77777777" w:rsidR="00E45340" w:rsidRDefault="00166EB0">
      <w:pPr>
        <w:pStyle w:val="2"/>
        <w:rPr>
          <w:rFonts w:hint="default"/>
        </w:rPr>
      </w:pPr>
      <w:r>
        <w:rPr>
          <w:rFonts w:hint="default"/>
        </w:rPr>
        <w:t xml:space="preserve">6.1  </w:t>
      </w:r>
      <w:r>
        <w:rPr>
          <w:rFonts w:hint="default"/>
        </w:rPr>
        <w:t>橙汁的生产工艺流程</w:t>
      </w:r>
    </w:p>
    <w:p w14:paraId="7BDADCBF" w14:textId="77777777" w:rsidR="00E45340" w:rsidRDefault="00166EB0">
      <w:pPr>
        <w:ind w:firstLineChars="0" w:firstLine="0"/>
        <w:jc w:val="center"/>
        <w:rPr>
          <w:rFonts w:ascii="Times New Roman" w:hAnsi="Times New Roman" w:cs="Times New Roman"/>
        </w:rPr>
      </w:pPr>
      <w:r>
        <w:rPr>
          <w:rFonts w:ascii="Times New Roman" w:hAnsi="Times New Roman" w:cs="Times New Roman"/>
          <w:noProof/>
        </w:rPr>
        <w:drawing>
          <wp:inline distT="0" distB="0" distL="114300" distR="114300">
            <wp:extent cx="4621530" cy="1743075"/>
            <wp:effectExtent l="0" t="0" r="7620" b="9525"/>
            <wp:docPr id="8" name="图片 8" descr="4704a63fd0c235d87eae62b176365d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4704a63fd0c235d87eae62b176365d61"/>
                    <pic:cNvPicPr>
                      <a:picLocks noChangeAspect="1"/>
                    </pic:cNvPicPr>
                  </pic:nvPicPr>
                  <pic:blipFill>
                    <a:blip r:embed="rId17"/>
                    <a:stretch>
                      <a:fillRect/>
                    </a:stretch>
                  </pic:blipFill>
                  <pic:spPr>
                    <a:xfrm>
                      <a:off x="0" y="0"/>
                      <a:ext cx="4651178" cy="1754726"/>
                    </a:xfrm>
                    <a:prstGeom prst="rect">
                      <a:avLst/>
                    </a:prstGeom>
                  </pic:spPr>
                </pic:pic>
              </a:graphicData>
            </a:graphic>
          </wp:inline>
        </w:drawing>
      </w:r>
    </w:p>
    <w:p w14:paraId="165389F2" w14:textId="77777777" w:rsidR="00E45340" w:rsidRDefault="00166EB0">
      <w:pPr>
        <w:ind w:firstLineChars="0" w:firstLine="0"/>
        <w:jc w:val="center"/>
        <w:rPr>
          <w:rFonts w:ascii="Times New Roman" w:hAnsi="Times New Roman" w:cs="Times New Roman"/>
        </w:rPr>
      </w:pPr>
      <w:r>
        <w:rPr>
          <w:rFonts w:ascii="Times New Roman" w:hAnsi="Times New Roman" w:cs="Times New Roman"/>
        </w:rPr>
        <w:t>图</w:t>
      </w:r>
      <w:r>
        <w:rPr>
          <w:rFonts w:ascii="Times New Roman" w:hAnsi="Times New Roman" w:cs="Times New Roman"/>
        </w:rPr>
        <w:t xml:space="preserve">1 </w:t>
      </w:r>
      <w:r>
        <w:rPr>
          <w:rFonts w:ascii="Times New Roman" w:hAnsi="Times New Roman" w:cs="Times New Roman"/>
        </w:rPr>
        <w:t>生产工艺流程图</w:t>
      </w:r>
    </w:p>
    <w:p w14:paraId="1DDFB473" w14:textId="77777777" w:rsidR="00E45340" w:rsidRDefault="00166EB0">
      <w:pPr>
        <w:ind w:firstLine="360"/>
        <w:rPr>
          <w:rFonts w:ascii="Times New Roman" w:hAnsi="Times New Roman" w:cs="Times New Roman"/>
          <w:sz w:val="18"/>
          <w:szCs w:val="21"/>
        </w:rPr>
      </w:pPr>
      <w:r>
        <w:rPr>
          <w:rFonts w:ascii="Times New Roman" w:hAnsi="Times New Roman" w:cs="Times New Roman"/>
          <w:sz w:val="18"/>
          <w:szCs w:val="21"/>
        </w:rPr>
        <w:t>注：虚线位置为可选工序</w:t>
      </w:r>
    </w:p>
    <w:p w14:paraId="2A1A67B6" w14:textId="77777777" w:rsidR="00E45340" w:rsidRDefault="00166EB0">
      <w:pPr>
        <w:pStyle w:val="2"/>
        <w:rPr>
          <w:rFonts w:hint="default"/>
        </w:rPr>
      </w:pPr>
      <w:r>
        <w:t>6.2</w:t>
      </w:r>
      <w:r>
        <w:rPr>
          <w:rFonts w:hint="default"/>
        </w:rPr>
        <w:t xml:space="preserve">  </w:t>
      </w:r>
      <w:r>
        <w:t>工艺说明</w:t>
      </w:r>
    </w:p>
    <w:p w14:paraId="520972FA" w14:textId="77777777" w:rsidR="00E45340" w:rsidRDefault="00166EB0">
      <w:pPr>
        <w:pStyle w:val="3"/>
        <w:rPr>
          <w:rFonts w:hint="default"/>
        </w:rPr>
      </w:pPr>
      <w:r>
        <w:rPr>
          <w:rFonts w:hint="default"/>
        </w:rPr>
        <w:t xml:space="preserve">6.2.1  </w:t>
      </w:r>
      <w:r>
        <w:rPr>
          <w:rFonts w:hint="default"/>
        </w:rPr>
        <w:t>清洗</w:t>
      </w:r>
    </w:p>
    <w:p w14:paraId="4F8CD40F" w14:textId="77777777" w:rsidR="00E45340" w:rsidRDefault="00166EB0">
      <w:pPr>
        <w:pStyle w:val="a5"/>
        <w:ind w:firstLine="420"/>
      </w:pPr>
      <w:r>
        <w:t>橙子果实应采用刷洗、喷淋或两者结合的方式进行清洗，喷淋压力宜控制在</w:t>
      </w:r>
      <w:r>
        <w:t>0.</w:t>
      </w:r>
      <w:r>
        <w:rPr>
          <w:rFonts w:hint="eastAsia"/>
        </w:rPr>
        <w:t>20</w:t>
      </w:r>
      <w:r>
        <w:t>–0.</w:t>
      </w:r>
      <w:r>
        <w:rPr>
          <w:rFonts w:hint="eastAsia"/>
        </w:rPr>
        <w:t>30</w:t>
      </w:r>
      <w:r>
        <w:t xml:space="preserve"> MPa</w:t>
      </w:r>
      <w:r>
        <w:t>范围内。喷嘴与果实的距离应保持合理间距</w:t>
      </w:r>
      <w:r>
        <w:rPr>
          <w:rFonts w:hint="eastAsia"/>
        </w:rPr>
        <w:t>，</w:t>
      </w:r>
      <w:r>
        <w:t>避免冲击损伤果皮。喷淋用水应符合</w:t>
      </w:r>
      <w:r>
        <w:rPr>
          <w:color w:val="000000" w:themeColor="text1"/>
        </w:rPr>
        <w:t>GB 5749</w:t>
      </w:r>
      <w:r>
        <w:rPr>
          <w:rFonts w:hint="eastAsia"/>
          <w:color w:val="000000" w:themeColor="text1"/>
          <w:lang w:eastAsia="zh-CN"/>
        </w:rPr>
        <w:t>和</w:t>
      </w:r>
      <w:r>
        <w:rPr>
          <w:rFonts w:hint="eastAsia"/>
          <w:color w:val="000000" w:themeColor="text1"/>
          <w:lang w:eastAsia="zh-CN"/>
        </w:rPr>
        <w:t>NY/T 391</w:t>
      </w:r>
      <w:r>
        <w:t>相关要求，如清洗过程中使用洗涤剂，使用的洗涤剂应符合</w:t>
      </w:r>
      <w:r>
        <w:t xml:space="preserve"> GB 14930.1 </w:t>
      </w:r>
      <w:r>
        <w:t>的相关规定。</w:t>
      </w:r>
      <w:r>
        <w:rPr>
          <w:rFonts w:hint="eastAsia"/>
        </w:rPr>
        <w:t>氯制剂使用时水中有效氯应小于</w:t>
      </w:r>
      <w:r>
        <w:rPr>
          <w:rFonts w:hint="eastAsia"/>
        </w:rPr>
        <w:t>200mg/L</w:t>
      </w:r>
      <w:r>
        <w:rPr>
          <w:rFonts w:hint="eastAsia"/>
        </w:rPr>
        <w:t>、臭氧小于</w:t>
      </w:r>
      <w:r>
        <w:rPr>
          <w:rFonts w:hint="eastAsia"/>
        </w:rPr>
        <w:t>2.0mg/L</w:t>
      </w:r>
      <w:r>
        <w:rPr>
          <w:rFonts w:hint="eastAsia"/>
        </w:rPr>
        <w:t>，弱酸性电解水中有效氯浓度应在</w:t>
      </w:r>
      <w:r>
        <w:rPr>
          <w:rFonts w:hint="eastAsia"/>
        </w:rPr>
        <w:t>10-30 mg/L</w:t>
      </w:r>
      <w:r>
        <w:rPr>
          <w:rFonts w:hint="eastAsia"/>
        </w:rPr>
        <w:t>范围之间。消毒后需漂洗去除残留，降低化学污染风险。</w:t>
      </w:r>
    </w:p>
    <w:p w14:paraId="68B02B39" w14:textId="77777777" w:rsidR="00E45340" w:rsidRDefault="00166EB0">
      <w:pPr>
        <w:pStyle w:val="3"/>
        <w:rPr>
          <w:rFonts w:hint="default"/>
        </w:rPr>
      </w:pPr>
      <w:r>
        <w:rPr>
          <w:rFonts w:hint="default"/>
        </w:rPr>
        <w:t xml:space="preserve">6.2.2  </w:t>
      </w:r>
      <w:r>
        <w:rPr>
          <w:rFonts w:hint="default"/>
        </w:rPr>
        <w:t>挑选</w:t>
      </w:r>
    </w:p>
    <w:p w14:paraId="49771980" w14:textId="77777777" w:rsidR="00E45340" w:rsidRDefault="00166EB0">
      <w:pPr>
        <w:pStyle w:val="a5"/>
        <w:ind w:firstLine="420"/>
      </w:pPr>
      <w:r>
        <w:t>橙子原料运至工厂后，应符合</w:t>
      </w:r>
      <w:r>
        <w:rPr>
          <w:color w:val="000000" w:themeColor="text1"/>
        </w:rPr>
        <w:t>NY/T 22</w:t>
      </w:r>
      <w:r>
        <w:rPr>
          <w:color w:val="000000" w:themeColor="text1"/>
        </w:rPr>
        <w:t>76</w:t>
      </w:r>
      <w:r>
        <w:t>及相关绿色食品标准的规定，剔除腐烂果、病虫果、生果、畸形果及外来杂质。</w:t>
      </w:r>
      <w:r>
        <w:rPr>
          <w:rFonts w:hint="eastAsia"/>
          <w:lang w:val="en-US" w:eastAsia="zh-CN"/>
        </w:rPr>
        <w:t>出汁率应</w:t>
      </w:r>
      <w:r>
        <w:rPr>
          <w:rFonts w:hint="eastAsia"/>
        </w:rPr>
        <w:t>以≥</w:t>
      </w:r>
      <w:r>
        <w:rPr>
          <w:rFonts w:hint="eastAsia"/>
        </w:rPr>
        <w:t>40%</w:t>
      </w:r>
      <w:r>
        <w:rPr>
          <w:rFonts w:hint="eastAsia"/>
        </w:rPr>
        <w:t>为宜</w:t>
      </w:r>
      <w:r>
        <w:rPr>
          <w:rFonts w:hint="eastAsia"/>
          <w:lang w:eastAsia="zh-CN"/>
        </w:rPr>
        <w:t>，固酸比以</w:t>
      </w:r>
      <w:r>
        <w:rPr>
          <w:rFonts w:hint="eastAsia"/>
          <w:lang w:eastAsia="zh-CN"/>
        </w:rPr>
        <w:t>11.5</w:t>
      </w:r>
      <w:r>
        <w:rPr>
          <w:rFonts w:hint="eastAsia"/>
          <w:lang w:val="en-US" w:eastAsia="zh-CN"/>
        </w:rPr>
        <w:t>-</w:t>
      </w:r>
      <w:r>
        <w:rPr>
          <w:rFonts w:hint="eastAsia"/>
          <w:lang w:eastAsia="zh-CN"/>
        </w:rPr>
        <w:t>23.0</w:t>
      </w:r>
      <w:r>
        <w:rPr>
          <w:rFonts w:hint="eastAsia"/>
          <w:lang w:eastAsia="zh-CN"/>
        </w:rPr>
        <w:t>为宜</w:t>
      </w:r>
      <w:r>
        <w:rPr>
          <w:rFonts w:hint="eastAsia"/>
          <w:lang w:eastAsia="zh-CN"/>
        </w:rPr>
        <w:t>，</w:t>
      </w:r>
      <w:r>
        <w:rPr>
          <w:rFonts w:hint="eastAsia"/>
          <w:lang w:val="en-US" w:eastAsia="zh-CN"/>
        </w:rPr>
        <w:t>并按照</w:t>
      </w:r>
      <w:r>
        <w:rPr>
          <w:color w:val="000000" w:themeColor="text1"/>
        </w:rPr>
        <w:t>NY/T 2276</w:t>
      </w:r>
      <w:r>
        <w:rPr>
          <w:rFonts w:hint="eastAsia"/>
          <w:color w:val="000000" w:themeColor="text1"/>
          <w:lang w:val="en-US" w:eastAsia="zh-CN"/>
        </w:rPr>
        <w:t>的要求进行分级</w:t>
      </w:r>
      <w:r>
        <w:rPr>
          <w:rFonts w:hint="eastAsia"/>
        </w:rPr>
        <w:t>。</w:t>
      </w:r>
    </w:p>
    <w:p w14:paraId="70AEAEC5" w14:textId="77777777" w:rsidR="00E45340" w:rsidRDefault="00166EB0" w:rsidP="004A6D80">
      <w:pPr>
        <w:pStyle w:val="a5"/>
        <w:ind w:firstLineChars="0" w:firstLine="0"/>
        <w:jc w:val="center"/>
        <w:rPr>
          <w:lang w:val="en-US" w:eastAsia="zh-CN"/>
        </w:rPr>
      </w:pPr>
      <w:r>
        <w:rPr>
          <w:rFonts w:hint="eastAsia"/>
          <w:lang w:val="en-US" w:eastAsia="zh-CN"/>
        </w:rPr>
        <w:t>表</w:t>
      </w:r>
      <w:r>
        <w:rPr>
          <w:rFonts w:hint="eastAsia"/>
          <w:lang w:val="en-US" w:eastAsia="zh-CN"/>
        </w:rPr>
        <w:t xml:space="preserve">1 </w:t>
      </w:r>
      <w:r>
        <w:rPr>
          <w:rFonts w:hint="eastAsia"/>
          <w:lang w:val="en-US" w:eastAsia="zh-CN"/>
        </w:rPr>
        <w:t>甜橙原料分级要求</w:t>
      </w:r>
    </w:p>
    <w:tbl>
      <w:tblPr>
        <w:tblStyle w:val="ac"/>
        <w:tblW w:w="0" w:type="auto"/>
        <w:tblLook w:val="04A0" w:firstRow="1" w:lastRow="0" w:firstColumn="1" w:lastColumn="0" w:noHBand="0" w:noVBand="1"/>
      </w:tblPr>
      <w:tblGrid>
        <w:gridCol w:w="1961"/>
        <w:gridCol w:w="1600"/>
        <w:gridCol w:w="1526"/>
        <w:gridCol w:w="1696"/>
        <w:gridCol w:w="1696"/>
      </w:tblGrid>
      <w:tr w:rsidR="00E45340" w14:paraId="53EBFE71" w14:textId="77777777" w:rsidTr="004A6D80">
        <w:trPr>
          <w:trHeight w:val="348"/>
        </w:trPr>
        <w:tc>
          <w:tcPr>
            <w:tcW w:w="1961" w:type="dxa"/>
          </w:tcPr>
          <w:p w14:paraId="47E391D9" w14:textId="77777777" w:rsidR="00E45340" w:rsidRDefault="00166EB0" w:rsidP="004A6D80">
            <w:pPr>
              <w:pStyle w:val="a5"/>
              <w:ind w:firstLineChars="0" w:firstLine="0"/>
              <w:jc w:val="center"/>
              <w:rPr>
                <w:lang w:val="en-US" w:eastAsia="zh-CN"/>
              </w:rPr>
            </w:pPr>
            <w:r>
              <w:rPr>
                <w:rFonts w:hint="eastAsia"/>
                <w:lang w:val="en-US" w:eastAsia="zh-CN"/>
              </w:rPr>
              <w:t>级别</w:t>
            </w:r>
          </w:p>
        </w:tc>
        <w:tc>
          <w:tcPr>
            <w:tcW w:w="1600" w:type="dxa"/>
          </w:tcPr>
          <w:p w14:paraId="2AA6CC9B" w14:textId="77777777" w:rsidR="00E45340" w:rsidRDefault="00166EB0" w:rsidP="004A6D80">
            <w:pPr>
              <w:pStyle w:val="a5"/>
              <w:ind w:firstLineChars="0" w:firstLine="0"/>
              <w:jc w:val="center"/>
              <w:rPr>
                <w:lang w:val="en-US" w:eastAsia="zh-CN"/>
              </w:rPr>
            </w:pPr>
            <w:r>
              <w:rPr>
                <w:rFonts w:hint="eastAsia"/>
                <w:lang w:val="en-US" w:eastAsia="zh-CN"/>
              </w:rPr>
              <w:t>特级果</w:t>
            </w:r>
          </w:p>
        </w:tc>
        <w:tc>
          <w:tcPr>
            <w:tcW w:w="1526" w:type="dxa"/>
          </w:tcPr>
          <w:p w14:paraId="3C36F246" w14:textId="77777777" w:rsidR="00E45340" w:rsidRDefault="00166EB0" w:rsidP="004A6D80">
            <w:pPr>
              <w:pStyle w:val="a5"/>
              <w:ind w:firstLineChars="0" w:firstLine="0"/>
              <w:jc w:val="center"/>
              <w:rPr>
                <w:lang w:val="en-US" w:eastAsia="zh-CN"/>
              </w:rPr>
            </w:pPr>
            <w:r>
              <w:rPr>
                <w:rFonts w:hint="eastAsia"/>
                <w:lang w:val="en-US" w:eastAsia="zh-CN"/>
              </w:rPr>
              <w:t>一级果</w:t>
            </w:r>
          </w:p>
        </w:tc>
        <w:tc>
          <w:tcPr>
            <w:tcW w:w="1696" w:type="dxa"/>
          </w:tcPr>
          <w:p w14:paraId="17273125" w14:textId="77777777" w:rsidR="00E45340" w:rsidRDefault="00166EB0" w:rsidP="004A6D80">
            <w:pPr>
              <w:pStyle w:val="a5"/>
              <w:ind w:firstLineChars="0" w:firstLine="0"/>
              <w:jc w:val="center"/>
              <w:rPr>
                <w:lang w:val="en-US" w:eastAsia="zh-CN"/>
              </w:rPr>
            </w:pPr>
            <w:r>
              <w:rPr>
                <w:rFonts w:hint="eastAsia"/>
                <w:lang w:val="en-US" w:eastAsia="zh-CN"/>
              </w:rPr>
              <w:t>二级果</w:t>
            </w:r>
          </w:p>
        </w:tc>
        <w:tc>
          <w:tcPr>
            <w:tcW w:w="1696" w:type="dxa"/>
          </w:tcPr>
          <w:p w14:paraId="69D9CB04" w14:textId="77777777" w:rsidR="00E45340" w:rsidRDefault="00166EB0" w:rsidP="004A6D80">
            <w:pPr>
              <w:pStyle w:val="a5"/>
              <w:ind w:firstLineChars="0" w:firstLine="0"/>
              <w:jc w:val="center"/>
              <w:rPr>
                <w:lang w:val="en-US" w:eastAsia="zh-CN"/>
              </w:rPr>
            </w:pPr>
            <w:r>
              <w:rPr>
                <w:rFonts w:hint="eastAsia"/>
                <w:lang w:val="en-US" w:eastAsia="zh-CN"/>
              </w:rPr>
              <w:t>三级果</w:t>
            </w:r>
          </w:p>
        </w:tc>
      </w:tr>
      <w:tr w:rsidR="00E45340" w14:paraId="11637890" w14:textId="77777777" w:rsidTr="004A6D80">
        <w:trPr>
          <w:trHeight w:val="298"/>
        </w:trPr>
        <w:tc>
          <w:tcPr>
            <w:tcW w:w="1961" w:type="dxa"/>
          </w:tcPr>
          <w:p w14:paraId="1EDC09F5" w14:textId="77777777" w:rsidR="00E45340" w:rsidRDefault="00166EB0" w:rsidP="004A6D80">
            <w:pPr>
              <w:pStyle w:val="a5"/>
              <w:ind w:firstLineChars="0" w:firstLine="0"/>
              <w:jc w:val="center"/>
              <w:rPr>
                <w:lang w:val="en-US" w:eastAsia="zh-CN"/>
              </w:rPr>
            </w:pPr>
            <w:r>
              <w:rPr>
                <w:rFonts w:hint="eastAsia"/>
                <w:lang w:val="en-US" w:eastAsia="zh-CN"/>
              </w:rPr>
              <w:t>出汁率，</w:t>
            </w:r>
            <w:r>
              <w:rPr>
                <w:rFonts w:hint="eastAsia"/>
                <w:lang w:val="en-US" w:eastAsia="zh-CN"/>
              </w:rPr>
              <w:t>%</w:t>
            </w:r>
          </w:p>
        </w:tc>
        <w:tc>
          <w:tcPr>
            <w:tcW w:w="1600" w:type="dxa"/>
          </w:tcPr>
          <w:p w14:paraId="7A35BF08" w14:textId="77777777" w:rsidR="00E45340" w:rsidRDefault="00166EB0" w:rsidP="004A6D80">
            <w:pPr>
              <w:pStyle w:val="a5"/>
              <w:ind w:firstLineChars="0" w:firstLine="0"/>
              <w:jc w:val="center"/>
              <w:rPr>
                <w:lang w:val="en-US" w:eastAsia="zh-CN"/>
              </w:rPr>
            </w:pPr>
            <w:r>
              <w:rPr>
                <w:rFonts w:hint="eastAsia"/>
              </w:rPr>
              <w:t>≥</w:t>
            </w:r>
            <w:r>
              <w:rPr>
                <w:rFonts w:hint="eastAsia"/>
                <w:lang w:val="en-US" w:eastAsia="zh-CN"/>
              </w:rPr>
              <w:t>54.0</w:t>
            </w:r>
          </w:p>
        </w:tc>
        <w:tc>
          <w:tcPr>
            <w:tcW w:w="1526" w:type="dxa"/>
          </w:tcPr>
          <w:p w14:paraId="146D9AE4" w14:textId="77777777" w:rsidR="00E45340" w:rsidRDefault="00166EB0" w:rsidP="004A6D80">
            <w:pPr>
              <w:pStyle w:val="a5"/>
              <w:ind w:firstLineChars="0" w:firstLine="0"/>
              <w:jc w:val="center"/>
              <w:rPr>
                <w:lang w:val="en-US"/>
              </w:rPr>
            </w:pPr>
            <w:r>
              <w:rPr>
                <w:rFonts w:hint="eastAsia"/>
              </w:rPr>
              <w:t>≥</w:t>
            </w:r>
            <w:r>
              <w:rPr>
                <w:rFonts w:hint="eastAsia"/>
                <w:lang w:val="en-US" w:eastAsia="zh-CN"/>
              </w:rPr>
              <w:t>51.0</w:t>
            </w:r>
            <w:r>
              <w:rPr>
                <w:rFonts w:hint="eastAsia"/>
                <w:lang w:val="en-US" w:eastAsia="zh-CN"/>
              </w:rPr>
              <w:t>，</w:t>
            </w:r>
            <w:r>
              <w:rPr>
                <w:rFonts w:hint="eastAsia"/>
                <w:lang w:val="en-US" w:eastAsia="zh-CN"/>
              </w:rPr>
              <w:t>&lt;54.0</w:t>
            </w:r>
          </w:p>
        </w:tc>
        <w:tc>
          <w:tcPr>
            <w:tcW w:w="1696" w:type="dxa"/>
          </w:tcPr>
          <w:p w14:paraId="49241625" w14:textId="77777777" w:rsidR="00E45340" w:rsidRDefault="00166EB0" w:rsidP="004A6D80">
            <w:pPr>
              <w:pStyle w:val="a5"/>
              <w:ind w:firstLineChars="0" w:firstLine="0"/>
              <w:jc w:val="center"/>
            </w:pPr>
            <w:r>
              <w:rPr>
                <w:rFonts w:hint="eastAsia"/>
              </w:rPr>
              <w:t>≥</w:t>
            </w:r>
            <w:r>
              <w:rPr>
                <w:rFonts w:hint="eastAsia"/>
                <w:lang w:val="en-US" w:eastAsia="zh-CN"/>
              </w:rPr>
              <w:t>45.0</w:t>
            </w:r>
            <w:r>
              <w:rPr>
                <w:rFonts w:hint="eastAsia"/>
                <w:lang w:val="en-US" w:eastAsia="zh-CN"/>
              </w:rPr>
              <w:t>，</w:t>
            </w:r>
            <w:r>
              <w:rPr>
                <w:rFonts w:hint="eastAsia"/>
                <w:lang w:val="en-US" w:eastAsia="zh-CN"/>
              </w:rPr>
              <w:t>&lt;51.0</w:t>
            </w:r>
          </w:p>
        </w:tc>
        <w:tc>
          <w:tcPr>
            <w:tcW w:w="1696" w:type="dxa"/>
          </w:tcPr>
          <w:p w14:paraId="129FD006" w14:textId="77777777" w:rsidR="00E45340" w:rsidRDefault="00166EB0" w:rsidP="004A6D80">
            <w:pPr>
              <w:pStyle w:val="a5"/>
              <w:ind w:firstLineChars="0" w:firstLine="0"/>
              <w:jc w:val="center"/>
            </w:pPr>
            <w:r>
              <w:rPr>
                <w:rFonts w:hint="eastAsia"/>
              </w:rPr>
              <w:t>≥</w:t>
            </w:r>
            <w:r>
              <w:rPr>
                <w:rFonts w:hint="eastAsia"/>
                <w:lang w:val="en-US" w:eastAsia="zh-CN"/>
              </w:rPr>
              <w:t>40.0</w:t>
            </w:r>
            <w:r>
              <w:rPr>
                <w:rFonts w:hint="eastAsia"/>
                <w:lang w:val="en-US" w:eastAsia="zh-CN"/>
              </w:rPr>
              <w:t>，</w:t>
            </w:r>
            <w:r>
              <w:rPr>
                <w:rFonts w:hint="eastAsia"/>
                <w:lang w:val="en-US" w:eastAsia="zh-CN"/>
              </w:rPr>
              <w:t>&lt;45.0</w:t>
            </w:r>
          </w:p>
        </w:tc>
      </w:tr>
      <w:tr w:rsidR="00E45340" w14:paraId="20A431D7" w14:textId="77777777" w:rsidTr="004A6D80">
        <w:trPr>
          <w:trHeight w:val="108"/>
        </w:trPr>
        <w:tc>
          <w:tcPr>
            <w:tcW w:w="1961" w:type="dxa"/>
          </w:tcPr>
          <w:p w14:paraId="25F9A764" w14:textId="77777777" w:rsidR="00E45340" w:rsidRDefault="00166EB0" w:rsidP="004A6D80">
            <w:pPr>
              <w:pStyle w:val="a5"/>
              <w:ind w:firstLineChars="0" w:firstLine="0"/>
              <w:jc w:val="center"/>
              <w:rPr>
                <w:lang w:val="en-US" w:eastAsia="zh-CN"/>
              </w:rPr>
            </w:pPr>
            <w:r>
              <w:rPr>
                <w:rFonts w:hint="eastAsia"/>
                <w:lang w:val="en-US" w:eastAsia="zh-CN"/>
              </w:rPr>
              <w:t>可溶性固形物，</w:t>
            </w:r>
            <w:r>
              <w:rPr>
                <w:rFonts w:hint="eastAsia"/>
                <w:lang w:val="en-US" w:eastAsia="zh-CN"/>
              </w:rPr>
              <w:t>%</w:t>
            </w:r>
          </w:p>
        </w:tc>
        <w:tc>
          <w:tcPr>
            <w:tcW w:w="1600" w:type="dxa"/>
          </w:tcPr>
          <w:p w14:paraId="5F394F80" w14:textId="77777777" w:rsidR="00E45340" w:rsidRDefault="00166EB0" w:rsidP="004A6D80">
            <w:pPr>
              <w:pStyle w:val="a5"/>
              <w:ind w:firstLineChars="0" w:firstLine="0"/>
              <w:jc w:val="center"/>
              <w:rPr>
                <w:lang w:val="en-US" w:eastAsia="zh-CN"/>
              </w:rPr>
            </w:pPr>
            <w:r>
              <w:rPr>
                <w:rFonts w:hint="eastAsia"/>
              </w:rPr>
              <w:t>≥</w:t>
            </w:r>
            <w:r>
              <w:rPr>
                <w:rFonts w:hint="eastAsia"/>
                <w:lang w:val="en-US" w:eastAsia="zh-CN"/>
              </w:rPr>
              <w:t>11.0</w:t>
            </w:r>
          </w:p>
        </w:tc>
        <w:tc>
          <w:tcPr>
            <w:tcW w:w="1526" w:type="dxa"/>
          </w:tcPr>
          <w:p w14:paraId="0C319E50" w14:textId="77777777" w:rsidR="00E45340" w:rsidRDefault="00166EB0" w:rsidP="004A6D80">
            <w:pPr>
              <w:pStyle w:val="a5"/>
              <w:ind w:firstLineChars="0" w:firstLine="0"/>
              <w:jc w:val="center"/>
            </w:pPr>
            <w:r>
              <w:rPr>
                <w:rFonts w:hint="eastAsia"/>
              </w:rPr>
              <w:t>≥</w:t>
            </w:r>
            <w:r>
              <w:rPr>
                <w:rFonts w:hint="eastAsia"/>
                <w:lang w:val="en-US" w:eastAsia="zh-CN"/>
              </w:rPr>
              <w:t>10.0</w:t>
            </w:r>
            <w:r>
              <w:rPr>
                <w:rFonts w:hint="eastAsia"/>
                <w:lang w:val="en-US" w:eastAsia="zh-CN"/>
              </w:rPr>
              <w:t>，</w:t>
            </w:r>
            <w:r>
              <w:rPr>
                <w:rFonts w:hint="eastAsia"/>
                <w:lang w:val="en-US" w:eastAsia="zh-CN"/>
              </w:rPr>
              <w:t>&lt;11.0</w:t>
            </w:r>
          </w:p>
        </w:tc>
        <w:tc>
          <w:tcPr>
            <w:tcW w:w="1696" w:type="dxa"/>
          </w:tcPr>
          <w:p w14:paraId="32360BD9" w14:textId="77777777" w:rsidR="00E45340" w:rsidRDefault="00166EB0" w:rsidP="004A6D80">
            <w:pPr>
              <w:pStyle w:val="a5"/>
              <w:ind w:firstLineChars="0" w:firstLine="0"/>
              <w:jc w:val="center"/>
            </w:pPr>
            <w:r>
              <w:rPr>
                <w:rFonts w:hint="eastAsia"/>
              </w:rPr>
              <w:t>≥</w:t>
            </w:r>
            <w:r>
              <w:rPr>
                <w:rFonts w:hint="eastAsia"/>
                <w:lang w:val="en-US" w:eastAsia="zh-CN"/>
              </w:rPr>
              <w:t>9.0</w:t>
            </w:r>
            <w:r>
              <w:rPr>
                <w:rFonts w:hint="eastAsia"/>
                <w:lang w:val="en-US" w:eastAsia="zh-CN"/>
              </w:rPr>
              <w:t>，</w:t>
            </w:r>
            <w:r>
              <w:rPr>
                <w:rFonts w:hint="eastAsia"/>
                <w:lang w:val="en-US" w:eastAsia="zh-CN"/>
              </w:rPr>
              <w:t>&lt;10.0</w:t>
            </w:r>
          </w:p>
        </w:tc>
        <w:tc>
          <w:tcPr>
            <w:tcW w:w="1696" w:type="dxa"/>
          </w:tcPr>
          <w:p w14:paraId="712C8C13" w14:textId="77777777" w:rsidR="00E45340" w:rsidRDefault="00166EB0" w:rsidP="004A6D80">
            <w:pPr>
              <w:pStyle w:val="a5"/>
              <w:ind w:firstLineChars="0" w:firstLine="0"/>
              <w:jc w:val="center"/>
            </w:pPr>
            <w:r>
              <w:rPr>
                <w:rFonts w:hint="eastAsia"/>
              </w:rPr>
              <w:t>≥</w:t>
            </w:r>
            <w:r>
              <w:rPr>
                <w:rFonts w:hint="eastAsia"/>
                <w:lang w:val="en-US" w:eastAsia="zh-CN"/>
              </w:rPr>
              <w:t>8</w:t>
            </w:r>
            <w:r>
              <w:rPr>
                <w:rFonts w:hint="eastAsia"/>
                <w:lang w:val="en-US" w:eastAsia="zh-CN"/>
              </w:rPr>
              <w:t>.0</w:t>
            </w:r>
            <w:r>
              <w:rPr>
                <w:rFonts w:hint="eastAsia"/>
                <w:lang w:val="en-US" w:eastAsia="zh-CN"/>
              </w:rPr>
              <w:t>，</w:t>
            </w:r>
            <w:r>
              <w:rPr>
                <w:rFonts w:hint="eastAsia"/>
                <w:lang w:val="en-US" w:eastAsia="zh-CN"/>
              </w:rPr>
              <w:t>&lt;</w:t>
            </w:r>
            <w:r>
              <w:rPr>
                <w:rFonts w:hint="eastAsia"/>
                <w:lang w:val="en-US" w:eastAsia="zh-CN"/>
              </w:rPr>
              <w:t>9</w:t>
            </w:r>
            <w:r>
              <w:rPr>
                <w:rFonts w:hint="eastAsia"/>
                <w:lang w:val="en-US" w:eastAsia="zh-CN"/>
              </w:rPr>
              <w:t>.0</w:t>
            </w:r>
          </w:p>
        </w:tc>
      </w:tr>
    </w:tbl>
    <w:p w14:paraId="4A38A2C3" w14:textId="77777777" w:rsidR="00E45340" w:rsidRDefault="00E45340">
      <w:pPr>
        <w:pStyle w:val="a5"/>
        <w:ind w:firstLine="420"/>
      </w:pPr>
    </w:p>
    <w:p w14:paraId="791A1DA3" w14:textId="77777777" w:rsidR="00E45340" w:rsidRDefault="00166EB0">
      <w:pPr>
        <w:pStyle w:val="3"/>
        <w:rPr>
          <w:rFonts w:hint="default"/>
        </w:rPr>
      </w:pPr>
      <w:r>
        <w:rPr>
          <w:rFonts w:hint="default"/>
        </w:rPr>
        <w:t xml:space="preserve">6.2.3  </w:t>
      </w:r>
      <w:r>
        <w:rPr>
          <w:rFonts w:hint="default"/>
        </w:rPr>
        <w:t>榨汁</w:t>
      </w:r>
    </w:p>
    <w:p w14:paraId="79EFE3C2" w14:textId="77777777" w:rsidR="00E45340" w:rsidRDefault="00166EB0">
      <w:pPr>
        <w:pStyle w:val="a5"/>
        <w:ind w:firstLine="420"/>
      </w:pPr>
      <w:r>
        <w:t>清洗后的果实入榨汁机榨汁。推荐采用冷压榨技术，榨汁温度应低于</w:t>
      </w:r>
      <w:r>
        <w:rPr>
          <w:rFonts w:hint="eastAsia"/>
        </w:rPr>
        <w:t>30</w:t>
      </w:r>
      <w:r>
        <w:t>°C</w:t>
      </w:r>
      <w:r>
        <w:t>，以避免热敏性成分损失，必要时可采取冷却措施。可采用螺旋压榨机或离心式榨汁机。设备应避免过度剪切，以减少苦味物质释放。</w:t>
      </w:r>
      <w:bookmarkStart w:id="0" w:name="_GoBack"/>
      <w:bookmarkEnd w:id="0"/>
    </w:p>
    <w:p w14:paraId="030178E6" w14:textId="77777777" w:rsidR="00E45340" w:rsidRDefault="00166EB0">
      <w:pPr>
        <w:pStyle w:val="3"/>
        <w:rPr>
          <w:rFonts w:hint="default"/>
        </w:rPr>
      </w:pPr>
      <w:r>
        <w:rPr>
          <w:rFonts w:hint="default"/>
        </w:rPr>
        <w:t xml:space="preserve">6.2.4  </w:t>
      </w:r>
      <w:r>
        <w:rPr>
          <w:rFonts w:hint="default"/>
        </w:rPr>
        <w:t>分离</w:t>
      </w:r>
    </w:p>
    <w:p w14:paraId="6A87C6ED" w14:textId="77777777" w:rsidR="00E45340" w:rsidRDefault="00166EB0">
      <w:pPr>
        <w:pStyle w:val="a5"/>
        <w:ind w:firstLine="420"/>
      </w:pPr>
      <w:r>
        <w:lastRenderedPageBreak/>
        <w:t>使用分离设备分离果汁中果皮、籽粒、白衣，可采用酶解后超滤、过滤或离心等分离技术。采用离心分离机分离果肉浆渣，采用振动筛或过滤机进行粗滤，滤网孔径一般为</w:t>
      </w:r>
      <w:r>
        <w:t xml:space="preserve"> 0.</w:t>
      </w:r>
      <w:r>
        <w:rPr>
          <w:rFonts w:hint="eastAsia"/>
        </w:rPr>
        <w:t>3</w:t>
      </w:r>
      <w:r>
        <w:t>-</w:t>
      </w:r>
      <w:r>
        <w:rPr>
          <w:rFonts w:hint="eastAsia"/>
        </w:rPr>
        <w:t>1.5</w:t>
      </w:r>
      <w:r>
        <w:t>mm</w:t>
      </w:r>
      <w:r>
        <w:t>。</w:t>
      </w:r>
    </w:p>
    <w:p w14:paraId="75E754DA" w14:textId="77777777" w:rsidR="00E45340" w:rsidRDefault="00166EB0">
      <w:pPr>
        <w:pStyle w:val="3"/>
        <w:rPr>
          <w:rFonts w:hint="default"/>
        </w:rPr>
      </w:pPr>
      <w:r>
        <w:rPr>
          <w:rFonts w:hint="default"/>
        </w:rPr>
        <w:t xml:space="preserve">6.2.5  </w:t>
      </w:r>
      <w:r>
        <w:rPr>
          <w:rFonts w:hint="default"/>
        </w:rPr>
        <w:t>精制过滤</w:t>
      </w:r>
    </w:p>
    <w:p w14:paraId="46AF2F79" w14:textId="77777777" w:rsidR="00E45340" w:rsidRDefault="00166EB0">
      <w:pPr>
        <w:pStyle w:val="a5"/>
        <w:ind w:firstLine="420"/>
      </w:pPr>
      <w:r>
        <w:t>若需精制过滤，则通过精制机过滤，使橙子颗粒果肉与果汁分离，过滤孔径应不大于</w:t>
      </w:r>
      <w:r>
        <w:rPr>
          <w:rFonts w:hint="eastAsia"/>
        </w:rPr>
        <w:t>0.5</w:t>
      </w:r>
      <w:r>
        <w:t xml:space="preserve"> mm</w:t>
      </w:r>
      <w:r>
        <w:t>。如无需精制过滤，可</w:t>
      </w:r>
      <w:r>
        <w:t>省略此步。</w:t>
      </w:r>
    </w:p>
    <w:p w14:paraId="49BD0D99" w14:textId="77777777" w:rsidR="00E45340" w:rsidRDefault="00166EB0">
      <w:pPr>
        <w:pStyle w:val="3"/>
        <w:rPr>
          <w:rFonts w:hint="default"/>
        </w:rPr>
      </w:pPr>
      <w:r>
        <w:rPr>
          <w:rFonts w:hint="default"/>
        </w:rPr>
        <w:t xml:space="preserve">6.2.6  </w:t>
      </w:r>
      <w:r>
        <w:rPr>
          <w:rFonts w:hint="default"/>
        </w:rPr>
        <w:t>均质</w:t>
      </w:r>
    </w:p>
    <w:p w14:paraId="74BF7BD9" w14:textId="77777777" w:rsidR="00E45340" w:rsidRDefault="00166EB0">
      <w:pPr>
        <w:pStyle w:val="a5"/>
        <w:ind w:firstLine="420"/>
      </w:pPr>
      <w:r>
        <w:t>采用胶体磨或均质机进行均质处理。高压均质机推荐采用</w:t>
      </w:r>
      <w:r>
        <w:t>15-2</w:t>
      </w:r>
      <w:r>
        <w:rPr>
          <w:rFonts w:hint="eastAsia"/>
        </w:rPr>
        <w:t>5</w:t>
      </w:r>
      <w:r>
        <w:t xml:space="preserve"> MPa</w:t>
      </w:r>
      <w:r>
        <w:t>压力。或采用两级均质，一级压</w:t>
      </w:r>
      <w:r>
        <w:rPr>
          <w:rFonts w:hint="eastAsia"/>
        </w:rPr>
        <w:t>力</w:t>
      </w:r>
      <w:r>
        <w:t>20-</w:t>
      </w:r>
      <w:r>
        <w:rPr>
          <w:rFonts w:hint="eastAsia"/>
        </w:rPr>
        <w:t>25</w:t>
      </w:r>
      <w:r>
        <w:t xml:space="preserve"> MPa</w:t>
      </w:r>
      <w:r>
        <w:t>，二级压力</w:t>
      </w:r>
      <w:r>
        <w:rPr>
          <w:rFonts w:hint="eastAsia"/>
        </w:rPr>
        <w:t>3-</w:t>
      </w:r>
      <w:r>
        <w:t>5 MPa</w:t>
      </w:r>
      <w:r>
        <w:t>。</w:t>
      </w:r>
    </w:p>
    <w:p w14:paraId="70FF28CB" w14:textId="77777777" w:rsidR="00E45340" w:rsidRDefault="00166EB0">
      <w:pPr>
        <w:pStyle w:val="3"/>
        <w:rPr>
          <w:rFonts w:hint="default"/>
        </w:rPr>
      </w:pPr>
      <w:r>
        <w:rPr>
          <w:rFonts w:hint="default"/>
        </w:rPr>
        <w:t xml:space="preserve">6.2.7  </w:t>
      </w:r>
      <w:r>
        <w:rPr>
          <w:rFonts w:hint="default"/>
        </w:rPr>
        <w:t>脱气</w:t>
      </w:r>
    </w:p>
    <w:p w14:paraId="07CCE26B" w14:textId="77777777" w:rsidR="00E45340" w:rsidRDefault="00166EB0">
      <w:pPr>
        <w:pStyle w:val="a5"/>
        <w:ind w:firstLine="420"/>
        <w:rPr>
          <w:highlight w:val="yellow"/>
        </w:rPr>
      </w:pPr>
      <w:r>
        <w:t>采用脱气设备尽量减少橙汁中的空气。如采用真空方式脱气，温度不高于</w:t>
      </w:r>
      <w:r>
        <w:rPr>
          <w:rFonts w:hint="eastAsia"/>
        </w:rPr>
        <w:t>30</w:t>
      </w:r>
      <w:r>
        <w:t>°C</w:t>
      </w:r>
      <w:r>
        <w:t>，脱气压力</w:t>
      </w:r>
      <w:r>
        <w:t>-0.</w:t>
      </w:r>
      <w:r>
        <w:rPr>
          <w:rFonts w:hint="eastAsia"/>
        </w:rPr>
        <w:t>10</w:t>
      </w:r>
      <w:r>
        <w:t>～</w:t>
      </w:r>
      <w:r>
        <w:t>-0.0</w:t>
      </w:r>
      <w:r>
        <w:rPr>
          <w:rFonts w:hint="eastAsia"/>
        </w:rPr>
        <w:t>1</w:t>
      </w:r>
      <w:r>
        <w:t>MPa</w:t>
      </w:r>
      <w:r>
        <w:t>。</w:t>
      </w:r>
    </w:p>
    <w:p w14:paraId="5A16E149" w14:textId="77777777" w:rsidR="00E45340" w:rsidRDefault="00166EB0">
      <w:pPr>
        <w:pStyle w:val="3"/>
        <w:rPr>
          <w:rFonts w:hint="default"/>
        </w:rPr>
      </w:pPr>
      <w:r>
        <w:rPr>
          <w:rFonts w:hint="default"/>
        </w:rPr>
        <w:t xml:space="preserve">6.2.8  </w:t>
      </w:r>
      <w:r>
        <w:rPr>
          <w:rFonts w:hint="default"/>
        </w:rPr>
        <w:t>杀菌</w:t>
      </w:r>
    </w:p>
    <w:p w14:paraId="3ACD931F" w14:textId="77777777" w:rsidR="00E45340" w:rsidRDefault="00166EB0">
      <w:pPr>
        <w:widowControl/>
        <w:ind w:firstLine="420"/>
        <w:jc w:val="left"/>
        <w:rPr>
          <w:rFonts w:ascii="Times New Roman" w:hAnsi="Times New Roman" w:cs="Times New Roman"/>
          <w:color w:val="000000"/>
          <w:kern w:val="0"/>
          <w:szCs w:val="21"/>
          <w:lang w:bidi="ar"/>
        </w:rPr>
      </w:pPr>
      <w:r>
        <w:rPr>
          <w:rFonts w:ascii="Times New Roman" w:hAnsi="Times New Roman" w:cs="Times New Roman"/>
          <w:color w:val="000000"/>
          <w:kern w:val="0"/>
          <w:szCs w:val="21"/>
          <w:lang w:bidi="ar"/>
        </w:rPr>
        <w:t>可采用超高温瞬时杀菌、高温短时杀菌或超高压等方式杀菌。</w:t>
      </w:r>
    </w:p>
    <w:p w14:paraId="2A7C8D0D" w14:textId="77777777" w:rsidR="00E45340" w:rsidRDefault="00166EB0">
      <w:pPr>
        <w:ind w:firstLineChars="0" w:firstLine="0"/>
        <w:jc w:val="center"/>
        <w:rPr>
          <w:rFonts w:ascii="Times New Roman" w:hAnsi="Times New Roman" w:cs="Times New Roman"/>
        </w:rPr>
      </w:pPr>
      <w:r>
        <w:rPr>
          <w:rFonts w:ascii="Times New Roman" w:hAnsi="Times New Roman" w:cs="Times New Roman" w:hint="eastAsia"/>
        </w:rPr>
        <w:t>表</w:t>
      </w:r>
      <w:r>
        <w:rPr>
          <w:rFonts w:ascii="Times New Roman" w:hAnsi="Times New Roman" w:cs="Times New Roman"/>
        </w:rPr>
        <w:t xml:space="preserve">1 </w:t>
      </w:r>
      <w:r>
        <w:rPr>
          <w:rFonts w:ascii="Times New Roman" w:hAnsi="Times New Roman" w:cs="Times New Roman" w:hint="eastAsia"/>
        </w:rPr>
        <w:t>杀菌</w:t>
      </w:r>
      <w:r>
        <w:rPr>
          <w:rFonts w:ascii="Times New Roman" w:hAnsi="Times New Roman" w:cs="Times New Roman"/>
        </w:rPr>
        <w:t>参数</w:t>
      </w:r>
    </w:p>
    <w:tbl>
      <w:tblPr>
        <w:tblStyle w:val="ac"/>
        <w:tblW w:w="0" w:type="auto"/>
        <w:jc w:val="center"/>
        <w:tblLook w:val="04A0" w:firstRow="1" w:lastRow="0" w:firstColumn="1" w:lastColumn="0" w:noHBand="0" w:noVBand="1"/>
      </w:tblPr>
      <w:tblGrid>
        <w:gridCol w:w="2879"/>
        <w:gridCol w:w="2198"/>
        <w:gridCol w:w="2129"/>
      </w:tblGrid>
      <w:tr w:rsidR="00E45340" w14:paraId="5CD5B16B" w14:textId="77777777">
        <w:trPr>
          <w:trHeight w:val="381"/>
          <w:jc w:val="center"/>
        </w:trPr>
        <w:tc>
          <w:tcPr>
            <w:tcW w:w="2879" w:type="dxa"/>
            <w:vAlign w:val="center"/>
          </w:tcPr>
          <w:p w14:paraId="28F5B0F2" w14:textId="77777777" w:rsidR="00E45340" w:rsidRDefault="00166EB0">
            <w:pPr>
              <w:pStyle w:val="a5"/>
              <w:spacing w:line="240" w:lineRule="auto"/>
              <w:ind w:firstLineChars="0" w:firstLine="0"/>
              <w:jc w:val="center"/>
              <w:rPr>
                <w:rFonts w:ascii="黑体" w:eastAsia="黑体" w:hAnsi="黑体"/>
              </w:rPr>
            </w:pPr>
            <w:r>
              <w:rPr>
                <w:rFonts w:ascii="黑体" w:eastAsia="黑体" w:hAnsi="黑体"/>
              </w:rPr>
              <w:t>杀菌方式</w:t>
            </w:r>
          </w:p>
        </w:tc>
        <w:tc>
          <w:tcPr>
            <w:tcW w:w="2198" w:type="dxa"/>
            <w:vAlign w:val="center"/>
          </w:tcPr>
          <w:p w14:paraId="7491F061" w14:textId="77777777" w:rsidR="00E45340" w:rsidRDefault="00166EB0">
            <w:pPr>
              <w:pStyle w:val="a5"/>
              <w:spacing w:line="240" w:lineRule="auto"/>
              <w:ind w:firstLineChars="0" w:firstLine="0"/>
              <w:jc w:val="center"/>
              <w:rPr>
                <w:rFonts w:ascii="黑体" w:eastAsia="黑体" w:hAnsi="黑体"/>
              </w:rPr>
            </w:pPr>
            <w:r>
              <w:rPr>
                <w:rFonts w:ascii="黑体" w:eastAsia="黑体" w:hAnsi="黑体"/>
              </w:rPr>
              <w:t>温度</w:t>
            </w:r>
            <w:r>
              <w:rPr>
                <w:rFonts w:ascii="黑体" w:eastAsia="黑体" w:hAnsi="黑体"/>
              </w:rPr>
              <w:t>/</w:t>
            </w:r>
            <w:r>
              <w:rPr>
                <w:rFonts w:ascii="黑体" w:eastAsia="黑体" w:hAnsi="黑体"/>
              </w:rPr>
              <w:t>压力参数</w:t>
            </w:r>
          </w:p>
        </w:tc>
        <w:tc>
          <w:tcPr>
            <w:tcW w:w="2129" w:type="dxa"/>
            <w:vAlign w:val="center"/>
          </w:tcPr>
          <w:p w14:paraId="1DBFA97C" w14:textId="77777777" w:rsidR="00E45340" w:rsidRDefault="00166EB0">
            <w:pPr>
              <w:pStyle w:val="a5"/>
              <w:spacing w:line="240" w:lineRule="auto"/>
              <w:ind w:firstLineChars="0" w:firstLine="0"/>
              <w:jc w:val="center"/>
              <w:rPr>
                <w:rFonts w:ascii="黑体" w:eastAsia="黑体" w:hAnsi="黑体"/>
              </w:rPr>
            </w:pPr>
            <w:r>
              <w:rPr>
                <w:rFonts w:ascii="黑体" w:eastAsia="黑体" w:hAnsi="黑体"/>
              </w:rPr>
              <w:t>时间</w:t>
            </w:r>
          </w:p>
        </w:tc>
      </w:tr>
      <w:tr w:rsidR="00E45340" w14:paraId="4003A249" w14:textId="77777777">
        <w:trPr>
          <w:trHeight w:val="397"/>
          <w:jc w:val="center"/>
        </w:trPr>
        <w:tc>
          <w:tcPr>
            <w:tcW w:w="2879" w:type="dxa"/>
            <w:vAlign w:val="center"/>
          </w:tcPr>
          <w:p w14:paraId="0D0438A1" w14:textId="77777777" w:rsidR="00E45340" w:rsidRDefault="00166EB0">
            <w:pPr>
              <w:pStyle w:val="a5"/>
              <w:spacing w:line="240" w:lineRule="auto"/>
              <w:ind w:firstLineChars="0" w:firstLine="0"/>
              <w:jc w:val="center"/>
            </w:pPr>
            <w:r>
              <w:t>超高温瞬时杀菌（</w:t>
            </w:r>
            <w:r>
              <w:t>UHT</w:t>
            </w:r>
            <w:r>
              <w:t>）</w:t>
            </w:r>
          </w:p>
        </w:tc>
        <w:tc>
          <w:tcPr>
            <w:tcW w:w="2198" w:type="dxa"/>
            <w:vAlign w:val="center"/>
          </w:tcPr>
          <w:p w14:paraId="75FD3B65" w14:textId="77777777" w:rsidR="00E45340" w:rsidRDefault="00166EB0">
            <w:pPr>
              <w:pStyle w:val="a5"/>
              <w:spacing w:line="240" w:lineRule="auto"/>
              <w:ind w:firstLineChars="0" w:firstLine="0"/>
              <w:jc w:val="center"/>
            </w:pPr>
            <w:r>
              <w:t>135 - 1</w:t>
            </w:r>
            <w:r>
              <w:rPr>
                <w:rFonts w:hint="eastAsia"/>
              </w:rPr>
              <w:t>45</w:t>
            </w:r>
            <w:r>
              <w:t xml:space="preserve"> °C</w:t>
            </w:r>
          </w:p>
        </w:tc>
        <w:tc>
          <w:tcPr>
            <w:tcW w:w="2129" w:type="dxa"/>
            <w:vAlign w:val="center"/>
          </w:tcPr>
          <w:p w14:paraId="0EDC99C4" w14:textId="77777777" w:rsidR="00E45340" w:rsidRDefault="00166EB0">
            <w:pPr>
              <w:pStyle w:val="a5"/>
              <w:spacing w:line="240" w:lineRule="auto"/>
              <w:ind w:firstLineChars="0" w:firstLine="0"/>
              <w:jc w:val="center"/>
            </w:pPr>
            <w:r>
              <w:t xml:space="preserve">2 - </w:t>
            </w:r>
            <w:r>
              <w:rPr>
                <w:rFonts w:hint="eastAsia"/>
              </w:rPr>
              <w:t>5</w:t>
            </w:r>
            <w:r>
              <w:t xml:space="preserve"> </w:t>
            </w:r>
            <w:r>
              <w:t>秒</w:t>
            </w:r>
          </w:p>
        </w:tc>
      </w:tr>
      <w:tr w:rsidR="00E45340" w14:paraId="1B4AA330" w14:textId="77777777">
        <w:trPr>
          <w:trHeight w:val="381"/>
          <w:jc w:val="center"/>
        </w:trPr>
        <w:tc>
          <w:tcPr>
            <w:tcW w:w="2879" w:type="dxa"/>
            <w:vAlign w:val="center"/>
          </w:tcPr>
          <w:p w14:paraId="66759931" w14:textId="77777777" w:rsidR="00E45340" w:rsidRDefault="00166EB0">
            <w:pPr>
              <w:pStyle w:val="a5"/>
              <w:spacing w:line="240" w:lineRule="auto"/>
              <w:ind w:firstLineChars="0" w:firstLine="0"/>
              <w:jc w:val="center"/>
            </w:pPr>
            <w:r>
              <w:t>高温短时杀菌（</w:t>
            </w:r>
            <w:r>
              <w:t>HTST</w:t>
            </w:r>
            <w:r>
              <w:t>）</w:t>
            </w:r>
          </w:p>
        </w:tc>
        <w:tc>
          <w:tcPr>
            <w:tcW w:w="2198" w:type="dxa"/>
            <w:vAlign w:val="center"/>
          </w:tcPr>
          <w:p w14:paraId="4882E25D" w14:textId="77777777" w:rsidR="00E45340" w:rsidRDefault="00166EB0">
            <w:pPr>
              <w:pStyle w:val="a5"/>
              <w:spacing w:line="240" w:lineRule="auto"/>
              <w:ind w:firstLineChars="0" w:firstLine="0"/>
              <w:jc w:val="center"/>
            </w:pPr>
            <w:r>
              <w:rPr>
                <w:rFonts w:hint="eastAsia"/>
              </w:rPr>
              <w:t>85</w:t>
            </w:r>
            <w:r>
              <w:t xml:space="preserve"> - </w:t>
            </w:r>
            <w:r>
              <w:rPr>
                <w:rFonts w:hint="eastAsia"/>
              </w:rPr>
              <w:t>95</w:t>
            </w:r>
            <w:r>
              <w:t>°C</w:t>
            </w:r>
          </w:p>
        </w:tc>
        <w:tc>
          <w:tcPr>
            <w:tcW w:w="2129" w:type="dxa"/>
            <w:vAlign w:val="center"/>
          </w:tcPr>
          <w:p w14:paraId="6032E366" w14:textId="77777777" w:rsidR="00E45340" w:rsidRDefault="00166EB0">
            <w:pPr>
              <w:pStyle w:val="a5"/>
              <w:spacing w:line="240" w:lineRule="auto"/>
              <w:ind w:firstLineChars="0" w:firstLine="0"/>
              <w:jc w:val="center"/>
            </w:pPr>
            <w:r>
              <w:rPr>
                <w:rFonts w:hint="eastAsia"/>
              </w:rPr>
              <w:t>15</w:t>
            </w:r>
            <w:r>
              <w:t xml:space="preserve"> </w:t>
            </w:r>
            <w:r>
              <w:t>秒</w:t>
            </w:r>
            <w:r>
              <w:t xml:space="preserve"> - </w:t>
            </w:r>
            <w:r>
              <w:rPr>
                <w:rFonts w:hint="eastAsia"/>
              </w:rPr>
              <w:t>30</w:t>
            </w:r>
            <w:r>
              <w:t xml:space="preserve"> </w:t>
            </w:r>
            <w:r>
              <w:t>秒</w:t>
            </w:r>
          </w:p>
        </w:tc>
      </w:tr>
      <w:tr w:rsidR="00E45340" w14:paraId="492F6769" w14:textId="77777777">
        <w:trPr>
          <w:trHeight w:val="397"/>
          <w:jc w:val="center"/>
        </w:trPr>
        <w:tc>
          <w:tcPr>
            <w:tcW w:w="2879" w:type="dxa"/>
            <w:vAlign w:val="center"/>
          </w:tcPr>
          <w:p w14:paraId="196327D4" w14:textId="77777777" w:rsidR="00E45340" w:rsidRDefault="00166EB0">
            <w:pPr>
              <w:pStyle w:val="a5"/>
              <w:spacing w:line="240" w:lineRule="auto"/>
              <w:ind w:firstLineChars="0" w:firstLine="0"/>
              <w:jc w:val="center"/>
            </w:pPr>
            <w:r>
              <w:t>超高压杀菌</w:t>
            </w:r>
            <w:r>
              <w:t>(HPP)</w:t>
            </w:r>
          </w:p>
        </w:tc>
        <w:tc>
          <w:tcPr>
            <w:tcW w:w="2198" w:type="dxa"/>
            <w:vAlign w:val="center"/>
          </w:tcPr>
          <w:p w14:paraId="0BFBBD1F" w14:textId="77777777" w:rsidR="00E45340" w:rsidRDefault="00166EB0">
            <w:pPr>
              <w:pStyle w:val="a5"/>
              <w:spacing w:line="240" w:lineRule="auto"/>
              <w:ind w:firstLineChars="0" w:firstLine="0"/>
              <w:jc w:val="center"/>
            </w:pPr>
            <w:r>
              <w:t>400 - 600 MPa</w:t>
            </w:r>
          </w:p>
        </w:tc>
        <w:tc>
          <w:tcPr>
            <w:tcW w:w="2129" w:type="dxa"/>
            <w:vAlign w:val="center"/>
          </w:tcPr>
          <w:p w14:paraId="5392FE37" w14:textId="77777777" w:rsidR="00E45340" w:rsidRDefault="00166EB0">
            <w:pPr>
              <w:pStyle w:val="a5"/>
              <w:spacing w:line="240" w:lineRule="auto"/>
              <w:ind w:firstLineChars="0" w:firstLine="0"/>
              <w:jc w:val="center"/>
            </w:pPr>
            <w:r>
              <w:t xml:space="preserve">1 - 5 </w:t>
            </w:r>
            <w:r>
              <w:t>分钟</w:t>
            </w:r>
          </w:p>
        </w:tc>
      </w:tr>
    </w:tbl>
    <w:p w14:paraId="3A9F0268" w14:textId="77777777" w:rsidR="00E45340" w:rsidRDefault="00166EB0">
      <w:pPr>
        <w:pStyle w:val="3"/>
        <w:rPr>
          <w:rFonts w:hint="default"/>
        </w:rPr>
      </w:pPr>
      <w:r>
        <w:rPr>
          <w:rFonts w:hint="default"/>
        </w:rPr>
        <w:t xml:space="preserve">6.2.9  </w:t>
      </w:r>
      <w:r>
        <w:rPr>
          <w:rFonts w:hint="default"/>
        </w:rPr>
        <w:t>灌装</w:t>
      </w:r>
    </w:p>
    <w:p w14:paraId="012C32C4" w14:textId="77777777" w:rsidR="00E45340" w:rsidRDefault="00166EB0">
      <w:pPr>
        <w:pStyle w:val="a5"/>
        <w:ind w:firstLine="420"/>
      </w:pPr>
      <w:r>
        <w:t>将杀菌好的橙汁进行无菌灌装。可采用热灌装或冷灌装等方式。巴氏杀菌和超高压等非热杀菌橙汁应采用冷灌装，超高压杀菌橙汁应灌装至柔性容器。巴氏杀菌和超高压杀菌均可采用先灌装后杀菌或先杀菌后灌装的方式。</w:t>
      </w:r>
    </w:p>
    <w:p w14:paraId="17A43AA9" w14:textId="77777777" w:rsidR="00E45340" w:rsidRDefault="00166EB0">
      <w:pPr>
        <w:pStyle w:val="3"/>
        <w:rPr>
          <w:rFonts w:hint="default"/>
        </w:rPr>
      </w:pPr>
      <w:r>
        <w:rPr>
          <w:rFonts w:hint="default"/>
        </w:rPr>
        <w:t xml:space="preserve">6.2.10  </w:t>
      </w:r>
      <w:r>
        <w:rPr>
          <w:rFonts w:hint="default"/>
        </w:rPr>
        <w:t>包装</w:t>
      </w:r>
    </w:p>
    <w:p w14:paraId="0755436D" w14:textId="77777777" w:rsidR="00E45340" w:rsidRDefault="00166EB0">
      <w:pPr>
        <w:pStyle w:val="a5"/>
        <w:ind w:firstLine="420"/>
      </w:pPr>
      <w:r>
        <w:rPr>
          <w:color w:val="000000"/>
          <w:kern w:val="0"/>
          <w:lang w:bidi="ar"/>
        </w:rPr>
        <w:t>包装应符合</w:t>
      </w:r>
      <w:r>
        <w:t xml:space="preserve">NY/T 658 </w:t>
      </w:r>
      <w:r>
        <w:t>绿色食品</w:t>
      </w:r>
      <w:r>
        <w:t xml:space="preserve"> </w:t>
      </w:r>
      <w:r>
        <w:t>包装通用准则。</w:t>
      </w:r>
      <w:r>
        <w:rPr>
          <w:rFonts w:hint="eastAsia"/>
          <w:color w:val="000000"/>
        </w:rPr>
        <w:t>绿色食品</w:t>
      </w:r>
      <w:r>
        <w:rPr>
          <w:rFonts w:hint="eastAsia"/>
          <w:lang w:val="en-US" w:eastAsia="zh-CN"/>
        </w:rPr>
        <w:t>包装</w:t>
      </w:r>
      <w:r>
        <w:rPr>
          <w:lang w:val="en-US" w:eastAsia="zh-CN"/>
        </w:rPr>
        <w:t>应</w:t>
      </w:r>
      <w:r>
        <w:rPr>
          <w:rFonts w:hint="eastAsia"/>
          <w:lang w:val="en-US" w:eastAsia="zh-CN"/>
        </w:rPr>
        <w:t>安全</w:t>
      </w:r>
      <w:r>
        <w:rPr>
          <w:lang w:val="en-US" w:eastAsia="zh-CN"/>
        </w:rPr>
        <w:t>卫生</w:t>
      </w:r>
      <w:r>
        <w:rPr>
          <w:rFonts w:hint="eastAsia"/>
          <w:lang w:val="en-US" w:eastAsia="zh-CN"/>
        </w:rPr>
        <w:t>，包装的使用应实行减量化，宜使用可重复使用、可回收利用或生物降解的环保包装材料</w:t>
      </w:r>
      <w:r>
        <w:rPr>
          <w:rFonts w:hint="eastAsia"/>
          <w:color w:val="000000"/>
          <w:lang w:eastAsia="zh-CN"/>
        </w:rPr>
        <w:t>。</w:t>
      </w:r>
      <w:r>
        <w:t>生产加工过程符合本文件规定的绿色橙汁产品可以标注</w:t>
      </w:r>
      <w:r>
        <w:t>“</w:t>
      </w:r>
      <w:r>
        <w:t>非浓缩还原绿色橙汁</w:t>
      </w:r>
      <w:r>
        <w:t>”</w:t>
      </w:r>
      <w:r>
        <w:t>。采用超高压等非热杀菌的橙汁产品可标注</w:t>
      </w:r>
      <w:r>
        <w:t>“</w:t>
      </w:r>
      <w:r>
        <w:t>鲜榨绿色橙汁</w:t>
      </w:r>
      <w:r>
        <w:t>”</w:t>
      </w:r>
      <w:r>
        <w:t>。</w:t>
      </w:r>
    </w:p>
    <w:p w14:paraId="2AD5A202" w14:textId="77777777" w:rsidR="00E45340" w:rsidRDefault="00166EB0">
      <w:pPr>
        <w:pStyle w:val="1"/>
      </w:pPr>
      <w:r>
        <w:rPr>
          <w:rStyle w:val="1Char"/>
          <w:rFonts w:ascii="Times New Roman" w:hAnsi="Times New Roman" w:cs="Times New Roman"/>
        </w:rPr>
        <w:t xml:space="preserve">7  </w:t>
      </w:r>
      <w:r>
        <w:rPr>
          <w:rStyle w:val="1Char"/>
          <w:rFonts w:ascii="Times New Roman" w:hAnsi="Times New Roman" w:cs="Times New Roman"/>
        </w:rPr>
        <w:t>加工过程管理</w:t>
      </w:r>
    </w:p>
    <w:p w14:paraId="60B4F2C7" w14:textId="77777777" w:rsidR="00E45340" w:rsidRDefault="00166EB0">
      <w:pPr>
        <w:pStyle w:val="2"/>
        <w:rPr>
          <w:rFonts w:hint="default"/>
        </w:rPr>
      </w:pPr>
      <w:r>
        <w:rPr>
          <w:rFonts w:hint="default"/>
        </w:rPr>
        <w:t xml:space="preserve">7.1  </w:t>
      </w:r>
      <w:r>
        <w:rPr>
          <w:rFonts w:hint="default"/>
          <w:shd w:val="clear" w:color="auto" w:fill="FFFFFF"/>
        </w:rPr>
        <w:t>加工车间管理</w:t>
      </w:r>
    </w:p>
    <w:p w14:paraId="18D2A425" w14:textId="77777777" w:rsidR="00E45340" w:rsidRDefault="00166EB0">
      <w:pPr>
        <w:pStyle w:val="a5"/>
        <w:ind w:firstLine="420"/>
      </w:pPr>
      <w:r>
        <w:t>绿色食品加工过程应实施专人负责制，具备硬件条件的企业宜采用专线生产模式。当生产线数量唯一时，每次加工需以绿色食品为优先，通过时间维度的严格分隔实现与常规食品加工的隔离。每次加工前后，均需对接触物料的容器、工具及设备进行清洁处理；为防止交叉污染，绿色食品与常规食品生产区域间应设置有效的缓冲区域或物理隔离设施。</w:t>
      </w:r>
    </w:p>
    <w:p w14:paraId="63EFEFD6" w14:textId="77777777" w:rsidR="00E45340" w:rsidRDefault="00166EB0">
      <w:pPr>
        <w:pStyle w:val="2"/>
        <w:rPr>
          <w:rFonts w:hint="default"/>
        </w:rPr>
      </w:pPr>
      <w:r>
        <w:rPr>
          <w:rFonts w:hint="default"/>
        </w:rPr>
        <w:lastRenderedPageBreak/>
        <w:t xml:space="preserve">7.2  </w:t>
      </w:r>
      <w:r>
        <w:rPr>
          <w:rFonts w:hint="default"/>
        </w:rPr>
        <w:t>原料、配料管理</w:t>
      </w:r>
    </w:p>
    <w:p w14:paraId="06D0E121" w14:textId="77777777" w:rsidR="00E45340" w:rsidRDefault="00166EB0">
      <w:pPr>
        <w:pStyle w:val="a5"/>
        <w:ind w:firstLine="420"/>
      </w:pPr>
      <w:r>
        <w:t>绿色食品和常规产品的加工原料应分开放置，在生产过程使用的加工辅料一致时，按照绿色食品生产要求进行管理，建立完整的出入库记录，明确配料流向。</w:t>
      </w:r>
    </w:p>
    <w:p w14:paraId="1659502F" w14:textId="77777777" w:rsidR="00E45340" w:rsidRDefault="00166EB0">
      <w:pPr>
        <w:pStyle w:val="3"/>
        <w:rPr>
          <w:rFonts w:hint="default"/>
        </w:rPr>
      </w:pPr>
      <w:r>
        <w:rPr>
          <w:rFonts w:hint="default"/>
        </w:rPr>
        <w:t xml:space="preserve">7.2.1  </w:t>
      </w:r>
      <w:r>
        <w:rPr>
          <w:rFonts w:hint="default"/>
        </w:rPr>
        <w:t>生产操作人员</w:t>
      </w:r>
    </w:p>
    <w:p w14:paraId="7B65E074" w14:textId="77777777" w:rsidR="00E45340" w:rsidRDefault="00166EB0">
      <w:pPr>
        <w:pStyle w:val="a5"/>
        <w:ind w:firstLine="420"/>
      </w:pPr>
      <w:r>
        <w:t>从事与绿</w:t>
      </w:r>
      <w:r>
        <w:t>色食品生产有关的人员的健康管理与卫生要求应符合</w:t>
      </w:r>
      <w:r>
        <w:t>GB 14881</w:t>
      </w:r>
      <w:r>
        <w:t>规定。应建立绿色食品生产相关岗位的培训制度，绿色食品生产人员以及相关岗位的从业人员定期培训食品安全知识、绿色食品相关法律法规标准知识，应有培训及考核记录，须考核合格后方可上岗。</w:t>
      </w:r>
    </w:p>
    <w:p w14:paraId="0E60C9FD" w14:textId="77777777" w:rsidR="00E45340" w:rsidRDefault="00166EB0">
      <w:pPr>
        <w:pStyle w:val="3"/>
        <w:rPr>
          <w:rFonts w:hint="default"/>
        </w:rPr>
      </w:pPr>
      <w:r>
        <w:rPr>
          <w:rFonts w:hint="default"/>
        </w:rPr>
        <w:t xml:space="preserve">7.2.2  </w:t>
      </w:r>
      <w:r>
        <w:rPr>
          <w:rFonts w:hint="default"/>
        </w:rPr>
        <w:t>管理人员</w:t>
      </w:r>
    </w:p>
    <w:p w14:paraId="3231AE87" w14:textId="77777777" w:rsidR="00E45340" w:rsidRDefault="00166EB0">
      <w:pPr>
        <w:pStyle w:val="a5"/>
        <w:ind w:firstLine="420"/>
      </w:pPr>
      <w:r>
        <w:t>应配备食品安全专业技术人员、管理人员，应提高食品安全卫生与质量意识，应持续性教育与监督生产加工人员，培训和考核参加或从事与绿色食品生产有关的人员，定期检查绿色食品与常规产品生产管理工作，并做好相应记录，发现的问题应实施预防和纠正措施，确保绿色食品生</w:t>
      </w:r>
      <w:r>
        <w:t>产安全。</w:t>
      </w:r>
    </w:p>
    <w:p w14:paraId="37012CB0" w14:textId="77777777" w:rsidR="00E45340" w:rsidRDefault="00166EB0">
      <w:pPr>
        <w:pStyle w:val="2"/>
        <w:rPr>
          <w:rFonts w:hint="default"/>
        </w:rPr>
      </w:pPr>
      <w:r>
        <w:rPr>
          <w:rFonts w:hint="default"/>
        </w:rPr>
        <w:t xml:space="preserve">7.3  </w:t>
      </w:r>
      <w:r>
        <w:rPr>
          <w:rFonts w:hint="default"/>
        </w:rPr>
        <w:t>记录与追溯管理</w:t>
      </w:r>
    </w:p>
    <w:p w14:paraId="431C25E4" w14:textId="77777777" w:rsidR="00E45340" w:rsidRDefault="00166EB0">
      <w:pPr>
        <w:pStyle w:val="a5"/>
        <w:ind w:firstLine="420"/>
      </w:pPr>
      <w:r>
        <w:t>依据生产加工企业追溯制度，需建立产品加工记录。其中，绿色食品须单独设立记录，其追溯编号信息须清晰明确，且与常规食品严格区分。</w:t>
      </w:r>
    </w:p>
    <w:p w14:paraId="27788D82" w14:textId="77777777" w:rsidR="00E45340" w:rsidRDefault="00166EB0">
      <w:pPr>
        <w:pStyle w:val="1"/>
      </w:pPr>
      <w:r>
        <w:t xml:space="preserve">8  </w:t>
      </w:r>
      <w:r>
        <w:t>平行生产管理</w:t>
      </w:r>
    </w:p>
    <w:p w14:paraId="6778FC6B" w14:textId="77777777" w:rsidR="00E45340" w:rsidRDefault="00166EB0">
      <w:pPr>
        <w:pStyle w:val="a5"/>
        <w:ind w:firstLine="420"/>
      </w:pPr>
      <w:r>
        <w:t>企业同时生产绿色食品和常规产品时，应全程控制原料采购、运输、生产线、包装、</w:t>
      </w:r>
      <w:r>
        <w:rPr>
          <w:rFonts w:hint="eastAsia"/>
          <w:lang w:eastAsia="zh-CN"/>
        </w:rPr>
        <w:t>储</w:t>
      </w:r>
      <w:r>
        <w:t>藏等环节。企业应单独记录管理绿色食品生产原辅料、设备、容器、产品，严格按照绿色食品相关标准，有效控制生产过程，确保绿色食品的产品质量。企业应合理安排绿色食品生产与常规产品生产，保证两者有效隔离，防止绿色食品与非绿色食品交叉污染。</w:t>
      </w:r>
    </w:p>
    <w:p w14:paraId="29E68062" w14:textId="77777777" w:rsidR="00E45340" w:rsidRDefault="00166EB0">
      <w:pPr>
        <w:pStyle w:val="1"/>
      </w:pPr>
      <w:r>
        <w:t xml:space="preserve">9  </w:t>
      </w:r>
      <w:r>
        <w:t>包装</w:t>
      </w:r>
      <w:r>
        <w:rPr>
          <w:rFonts w:hint="eastAsia"/>
        </w:rPr>
        <w:t>与</w:t>
      </w:r>
      <w:r>
        <w:t>检验</w:t>
      </w:r>
    </w:p>
    <w:p w14:paraId="0AD8004E" w14:textId="77777777" w:rsidR="00E45340" w:rsidRDefault="00166EB0">
      <w:pPr>
        <w:pStyle w:val="2"/>
        <w:rPr>
          <w:rFonts w:hint="default"/>
        </w:rPr>
      </w:pPr>
      <w:r>
        <w:rPr>
          <w:rFonts w:hint="default"/>
        </w:rPr>
        <w:t>9.1</w:t>
      </w:r>
      <w:r>
        <w:rPr>
          <w:rFonts w:hint="default"/>
        </w:rPr>
        <w:t xml:space="preserve">  </w:t>
      </w:r>
      <w:r>
        <w:rPr>
          <w:rFonts w:hint="default"/>
        </w:rPr>
        <w:t>包装</w:t>
      </w:r>
    </w:p>
    <w:p w14:paraId="1B905581" w14:textId="77777777" w:rsidR="00E45340" w:rsidRDefault="00166EB0">
      <w:pPr>
        <w:pStyle w:val="a5"/>
        <w:ind w:firstLine="420"/>
      </w:pPr>
      <w:r>
        <w:t>绿色食品橙汁包装材料应符合</w:t>
      </w:r>
      <w:r>
        <w:t>NY/T 658</w:t>
      </w:r>
      <w:r>
        <w:t>的规定。包装上印刷的油墨或贴标签的黏合剂不应对人体和环境造成危害</w:t>
      </w:r>
      <w:r>
        <w:t>,</w:t>
      </w:r>
      <w:r>
        <w:t>且不应直接接触橙汁。使用塑料类包装时，直接接触橙汁的塑料材料和制品不应使用回收再用料且应为无色，不得使用聚氯乙烯塑料；使用纸类包装时，禁用再回收纸类，内表面不应涂非食品级蜡、胶、油、漆等。检验批平均净含量不得低于标识净含量。</w:t>
      </w:r>
    </w:p>
    <w:p w14:paraId="0B2CECF0" w14:textId="77777777" w:rsidR="00E45340" w:rsidRDefault="00166EB0">
      <w:pPr>
        <w:pStyle w:val="2"/>
        <w:rPr>
          <w:rFonts w:hint="default"/>
        </w:rPr>
      </w:pPr>
      <w:r>
        <w:rPr>
          <w:rFonts w:hint="default"/>
        </w:rPr>
        <w:t xml:space="preserve">9.2  </w:t>
      </w:r>
      <w:r>
        <w:rPr>
          <w:rFonts w:hint="default"/>
        </w:rPr>
        <w:t>标签、标志、标识</w:t>
      </w:r>
    </w:p>
    <w:p w14:paraId="558A7A12" w14:textId="77777777" w:rsidR="00E45340" w:rsidRDefault="00166EB0">
      <w:pPr>
        <w:pStyle w:val="a5"/>
        <w:ind w:firstLine="420"/>
      </w:pPr>
      <w:r>
        <w:t>绿色食品橙汁标签、标志、标识等应符合</w:t>
      </w:r>
      <w:r>
        <w:t>GB 7718</w:t>
      </w:r>
      <w:r>
        <w:t>和</w:t>
      </w:r>
      <w:r>
        <w:t>NY/T 658</w:t>
      </w:r>
      <w:r>
        <w:t>的规定。产品应标注：产品名称、类别、等级、净含量、生产企业名称和地址、生</w:t>
      </w:r>
      <w:r>
        <w:t>产日期、保质期、产品标准代号和食品生产许可证编号等。绿色食品商标标志</w:t>
      </w:r>
      <w:r>
        <w:rPr>
          <w:rFonts w:hint="eastAsia"/>
          <w:lang w:eastAsia="zh-CN"/>
        </w:rPr>
        <w:t>应</w:t>
      </w:r>
      <w:r>
        <w:t>符合《绿色食品商标标志设计使用规范手册》的规定。</w:t>
      </w:r>
    </w:p>
    <w:p w14:paraId="3C79D7EF" w14:textId="77777777" w:rsidR="00E45340" w:rsidRDefault="00166EB0">
      <w:pPr>
        <w:pStyle w:val="2"/>
        <w:rPr>
          <w:rFonts w:hint="default"/>
        </w:rPr>
      </w:pPr>
      <w:r>
        <w:rPr>
          <w:rFonts w:hint="default"/>
        </w:rPr>
        <w:t xml:space="preserve">9.3  </w:t>
      </w:r>
      <w:r>
        <w:rPr>
          <w:rFonts w:hint="default"/>
        </w:rPr>
        <w:t>产品检验</w:t>
      </w:r>
    </w:p>
    <w:p w14:paraId="295DCC09" w14:textId="77777777" w:rsidR="00E45340" w:rsidRDefault="00166EB0">
      <w:pPr>
        <w:pStyle w:val="a5"/>
        <w:ind w:firstLine="420"/>
      </w:pPr>
      <w:r>
        <w:lastRenderedPageBreak/>
        <w:t>产品抽样按</w:t>
      </w:r>
      <w:r>
        <w:t>NY/T 896</w:t>
      </w:r>
      <w:r>
        <w:t>执行。产品检验应符合</w:t>
      </w:r>
      <w:r>
        <w:t>NY/T 1055</w:t>
      </w:r>
      <w:r>
        <w:t>和</w:t>
      </w:r>
      <w:r>
        <w:t>NY/T 426</w:t>
      </w:r>
      <w:r>
        <w:t>的要求。</w:t>
      </w:r>
    </w:p>
    <w:p w14:paraId="0E693171" w14:textId="77777777" w:rsidR="00E45340" w:rsidRDefault="00166EB0">
      <w:pPr>
        <w:pStyle w:val="1"/>
      </w:pPr>
      <w:r>
        <w:t xml:space="preserve">10  </w:t>
      </w:r>
      <w:r>
        <w:t>运输与储藏</w:t>
      </w:r>
    </w:p>
    <w:p w14:paraId="749A6A0E" w14:textId="77777777" w:rsidR="00E45340" w:rsidRDefault="00166EB0">
      <w:pPr>
        <w:pStyle w:val="a5"/>
        <w:ind w:firstLine="420"/>
      </w:pPr>
      <w:r>
        <w:t>应符合</w:t>
      </w:r>
      <w:r>
        <w:t>NY/T 1056</w:t>
      </w:r>
      <w:r>
        <w:t>的要求。</w:t>
      </w:r>
      <w:r>
        <w:rPr>
          <w:rFonts w:hint="eastAsia"/>
        </w:rPr>
        <w:t>绿色食品</w:t>
      </w:r>
      <w:r>
        <w:t>成品储存应设置明显标识，</w:t>
      </w:r>
      <w:r>
        <w:rPr>
          <w:rFonts w:hint="eastAsia"/>
        </w:rPr>
        <w:t>不应与非绿色食品混放。</w:t>
      </w:r>
      <w:r>
        <w:rPr>
          <w:rFonts w:ascii="Times New Roman" w:cs="Times New Roman"/>
        </w:rPr>
        <w:t>绿色食品成品</w:t>
      </w:r>
      <w:r>
        <w:t>运输</w:t>
      </w:r>
      <w:r>
        <w:rPr>
          <w:rFonts w:hint="eastAsia"/>
        </w:rPr>
        <w:t>工具应专用，绿色</w:t>
      </w:r>
      <w:r>
        <w:t>食品</w:t>
      </w:r>
      <w:r>
        <w:rPr>
          <w:rFonts w:hint="eastAsia"/>
        </w:rPr>
        <w:t>与非绿色食品</w:t>
      </w:r>
      <w:r>
        <w:t>运输时</w:t>
      </w:r>
      <w:r>
        <w:rPr>
          <w:rFonts w:hint="eastAsia"/>
        </w:rPr>
        <w:t>应</w:t>
      </w:r>
      <w:r>
        <w:t>严格分开</w:t>
      </w:r>
      <w:r>
        <w:rPr>
          <w:rFonts w:hint="eastAsia"/>
        </w:rPr>
        <w:t>。</w:t>
      </w:r>
      <w:r>
        <w:t>在运输、装卸时应小心轻放，严禁撞击、挤压和日晒雨淋。运输工具应清洁、卫生，绿色食品不得与有毒、有害、有腐蚀性</w:t>
      </w:r>
      <w:r>
        <w:t>和易挥发、有异味的物质混装混运或同库储藏。常温</w:t>
      </w:r>
      <w:r>
        <w:rPr>
          <w:rFonts w:hint="eastAsia"/>
          <w:lang w:eastAsia="zh-CN"/>
        </w:rPr>
        <w:t>储</w:t>
      </w:r>
      <w:r>
        <w:t>存的产品应</w:t>
      </w:r>
      <w:r>
        <w:rPr>
          <w:rFonts w:hint="eastAsia"/>
          <w:lang w:eastAsia="zh-CN"/>
        </w:rPr>
        <w:t>储</w:t>
      </w:r>
      <w:r>
        <w:t>存于阴凉干燥通风处。冷藏</w:t>
      </w:r>
      <w:r>
        <w:rPr>
          <w:rFonts w:hint="eastAsia"/>
          <w:lang w:eastAsia="zh-CN"/>
        </w:rPr>
        <w:t>储</w:t>
      </w:r>
      <w:r>
        <w:t>存产品应在不高于</w:t>
      </w:r>
      <w:r>
        <w:t>10℃</w:t>
      </w:r>
      <w:r>
        <w:t>条件下</w:t>
      </w:r>
      <w:r>
        <w:rPr>
          <w:rFonts w:hint="eastAsia"/>
          <w:lang w:eastAsia="zh-CN"/>
        </w:rPr>
        <w:t>储</w:t>
      </w:r>
      <w:r>
        <w:t>存。冷冻</w:t>
      </w:r>
      <w:r>
        <w:rPr>
          <w:rFonts w:hint="eastAsia"/>
          <w:lang w:eastAsia="zh-CN"/>
        </w:rPr>
        <w:t>储</w:t>
      </w:r>
      <w:r>
        <w:t>存的产品应在不高于</w:t>
      </w:r>
      <w:r>
        <w:t>-18℃</w:t>
      </w:r>
      <w:r>
        <w:t>条件下</w:t>
      </w:r>
      <w:r>
        <w:rPr>
          <w:rFonts w:hint="eastAsia"/>
          <w:lang w:eastAsia="zh-CN"/>
        </w:rPr>
        <w:t>储</w:t>
      </w:r>
      <w:r>
        <w:t>存。</w:t>
      </w:r>
    </w:p>
    <w:p w14:paraId="62E38927" w14:textId="77777777" w:rsidR="00E45340" w:rsidRDefault="00166EB0">
      <w:pPr>
        <w:pStyle w:val="1"/>
      </w:pPr>
      <w:r>
        <w:t xml:space="preserve">11  </w:t>
      </w:r>
      <w:r>
        <w:t>生产废弃物处理</w:t>
      </w:r>
    </w:p>
    <w:p w14:paraId="4E1196ED" w14:textId="77777777" w:rsidR="00E45340" w:rsidRDefault="00166EB0">
      <w:pPr>
        <w:pStyle w:val="a5"/>
        <w:ind w:firstLine="420"/>
      </w:pPr>
      <w:r>
        <w:t>绿色食品加工企业的废弃物处理及环境保护措施应符合国家和绿色食品相关标准要求，并作为现场检查的要点之一。处理过程应遵循</w:t>
      </w:r>
      <w:r>
        <w:t xml:space="preserve"> “</w:t>
      </w:r>
      <w:r>
        <w:t>减量化、资源化、无害化</w:t>
      </w:r>
      <w:r>
        <w:t>”</w:t>
      </w:r>
      <w:r>
        <w:t>原则，优先进行资源回收利用，并确保不对环境造成污染。所有处理情况需详细记录在案，确保可追溯。</w:t>
      </w:r>
    </w:p>
    <w:p w14:paraId="13D7E24F" w14:textId="77777777" w:rsidR="00E45340" w:rsidRDefault="00166EB0">
      <w:pPr>
        <w:pStyle w:val="2"/>
        <w:rPr>
          <w:rFonts w:hint="default"/>
        </w:rPr>
      </w:pPr>
      <w:r>
        <w:t>1</w:t>
      </w:r>
      <w:r>
        <w:rPr>
          <w:rFonts w:hint="default"/>
        </w:rPr>
        <w:t>1</w:t>
      </w:r>
      <w:r>
        <w:t>.1</w:t>
      </w:r>
      <w:r>
        <w:rPr>
          <w:rFonts w:hint="default"/>
        </w:rPr>
        <w:t xml:space="preserve">  </w:t>
      </w:r>
      <w:r>
        <w:t>包装材料及其他固体废弃物处理</w:t>
      </w:r>
    </w:p>
    <w:p w14:paraId="5C11ACDE" w14:textId="77777777" w:rsidR="00E45340" w:rsidRDefault="00166EB0">
      <w:pPr>
        <w:pStyle w:val="a5"/>
        <w:ind w:firstLine="420"/>
      </w:pPr>
      <w:r>
        <w:t>所使用的包装材料应符合</w:t>
      </w:r>
      <w:r>
        <w:t>NY/T 658</w:t>
      </w:r>
      <w:r>
        <w:t>的要</w:t>
      </w:r>
      <w:r>
        <w:t>求，优先选择可重复使用、可回收利用或可降解的材料。废弃包装应分类收集，及时转运，交由有资质的单位进行资源化回收或无害化处理。对于无法资源化利用的一般工业固体废物，应按照《中华人民共和国固体废物污染环境防治法》的要求，委托专业机构进行无害化处置。</w:t>
      </w:r>
    </w:p>
    <w:p w14:paraId="2D219505" w14:textId="77777777" w:rsidR="00E45340" w:rsidRDefault="00166EB0">
      <w:pPr>
        <w:pStyle w:val="2"/>
        <w:rPr>
          <w:rFonts w:hint="default"/>
        </w:rPr>
      </w:pPr>
      <w:r>
        <w:t>1</w:t>
      </w:r>
      <w:r>
        <w:rPr>
          <w:rFonts w:hint="default"/>
        </w:rPr>
        <w:t>1</w:t>
      </w:r>
      <w:r>
        <w:t>.2</w:t>
      </w:r>
      <w:r>
        <w:rPr>
          <w:rFonts w:hint="default"/>
        </w:rPr>
        <w:t xml:space="preserve">  </w:t>
      </w:r>
      <w:r>
        <w:t>废水处理</w:t>
      </w:r>
    </w:p>
    <w:p w14:paraId="429538FC" w14:textId="77777777" w:rsidR="00E45340" w:rsidRDefault="00166EB0">
      <w:pPr>
        <w:ind w:firstLine="420"/>
        <w:rPr>
          <w:rFonts w:ascii="Times New Roman"/>
          <w:szCs w:val="20"/>
        </w:rPr>
      </w:pPr>
      <w:r>
        <w:rPr>
          <w:rFonts w:ascii="Times New Roman" w:hint="eastAsia"/>
          <w:szCs w:val="20"/>
        </w:rPr>
        <w:t>可进行循环利用，其中原料清洗产生的废水集中回收后，经过滤、消毒后符合</w:t>
      </w:r>
      <w:r>
        <w:rPr>
          <w:rFonts w:cs="宋体" w:hint="eastAsia"/>
          <w:szCs w:val="20"/>
        </w:rPr>
        <w:t>GB 5749</w:t>
      </w:r>
      <w:r>
        <w:rPr>
          <w:rFonts w:ascii="Times New Roman" w:hint="eastAsia"/>
          <w:szCs w:val="20"/>
        </w:rPr>
        <w:t>标准的可再次用于原料及车间地面清洗；后工序产生的废水，经企业自备废水处理系统处理达到废水排放标准后，可用于绿地灌溉、厂区洒水降尘等。</w:t>
      </w:r>
    </w:p>
    <w:p w14:paraId="5673F000" w14:textId="77777777" w:rsidR="00E45340" w:rsidRDefault="00166EB0">
      <w:pPr>
        <w:pStyle w:val="2"/>
        <w:rPr>
          <w:rFonts w:hint="default"/>
        </w:rPr>
      </w:pPr>
      <w:r>
        <w:t>1</w:t>
      </w:r>
      <w:r>
        <w:rPr>
          <w:rFonts w:hint="default"/>
        </w:rPr>
        <w:t>1</w:t>
      </w:r>
      <w:r>
        <w:t>.3</w:t>
      </w:r>
      <w:r>
        <w:rPr>
          <w:rFonts w:hint="default"/>
        </w:rPr>
        <w:t xml:space="preserve">  </w:t>
      </w:r>
      <w:r>
        <w:t>环境管理监督</w:t>
      </w:r>
    </w:p>
    <w:p w14:paraId="602E4FCF" w14:textId="77777777" w:rsidR="00E45340" w:rsidRDefault="00166EB0">
      <w:pPr>
        <w:pStyle w:val="a5"/>
        <w:ind w:firstLine="420"/>
        <w:rPr>
          <w:szCs w:val="24"/>
        </w:rPr>
      </w:pPr>
      <w:r>
        <w:t>企业应建立完善的废弃物和废水处理管理制度，明确责任人。接受县级以上人民政府农业农村主管部门及其所属绿色食品工作机构的监督检查和跟踪检查。定期对废弃物处理设施的运行效果进行评估，确保各项环保措施持续有效。</w:t>
      </w:r>
    </w:p>
    <w:p w14:paraId="6BB8B28E" w14:textId="77777777" w:rsidR="00E45340" w:rsidRDefault="00166EB0">
      <w:pPr>
        <w:pStyle w:val="1"/>
      </w:pPr>
      <w:r>
        <w:t xml:space="preserve">12  </w:t>
      </w:r>
      <w:r>
        <w:t>生产档案管理</w:t>
      </w:r>
    </w:p>
    <w:p w14:paraId="27A6E32E" w14:textId="77777777" w:rsidR="00E45340" w:rsidRDefault="00166EB0">
      <w:pPr>
        <w:pStyle w:val="2"/>
        <w:rPr>
          <w:rFonts w:hint="default"/>
        </w:rPr>
      </w:pPr>
      <w:r>
        <w:rPr>
          <w:rFonts w:hint="default"/>
        </w:rPr>
        <w:t xml:space="preserve">12.1 </w:t>
      </w:r>
      <w:r>
        <w:rPr>
          <w:rFonts w:hint="default"/>
        </w:rPr>
        <w:t>加工档案</w:t>
      </w:r>
    </w:p>
    <w:p w14:paraId="3126DA30" w14:textId="77777777" w:rsidR="00E45340" w:rsidRDefault="00166EB0" w:rsidP="004A6D80">
      <w:pPr>
        <w:pStyle w:val="a5"/>
        <w:ind w:firstLineChars="400" w:firstLine="840"/>
        <w:rPr>
          <w:rFonts w:ascii="Times New Roman" w:hAnsi="Times New Roman" w:cs="Times New Roman"/>
        </w:rPr>
      </w:pPr>
      <w:r>
        <w:rPr>
          <w:rFonts w:ascii="Times New Roman" w:cs="Times New Roman"/>
          <w:kern w:val="0"/>
        </w:rPr>
        <w:t>建立绿色食</w:t>
      </w:r>
      <w:r>
        <w:rPr>
          <w:rFonts w:ascii="Times New Roman" w:cs="Times New Roman"/>
          <w:kern w:val="0"/>
        </w:rPr>
        <w:t>品</w:t>
      </w:r>
      <w:r>
        <w:rPr>
          <w:rFonts w:ascii="Times New Roman" w:cs="Times New Roman" w:hint="eastAsia"/>
          <w:kern w:val="0"/>
          <w:lang w:val="en-US" w:eastAsia="zh-CN"/>
        </w:rPr>
        <w:t>橙汁</w:t>
      </w:r>
      <w:r>
        <w:rPr>
          <w:rFonts w:ascii="Times New Roman" w:cs="Times New Roman" w:hint="eastAsia"/>
          <w:kern w:val="0"/>
        </w:rPr>
        <w:t>产品</w:t>
      </w:r>
      <w:r>
        <w:rPr>
          <w:rFonts w:ascii="Times New Roman" w:cs="Times New Roman"/>
          <w:kern w:val="0"/>
        </w:rPr>
        <w:t>生产档案，</w:t>
      </w:r>
      <w:r>
        <w:rPr>
          <w:rFonts w:ascii="Times New Roman" w:cs="Times New Roman"/>
          <w:kern w:val="0"/>
        </w:rPr>
        <w:t>包括质量管理体系文件、生产投入品采购、出入库、使用记录、加工记录、生产加工计划、产地合同、生产加工数量、生产过程控制、产品检测报告、人员健康体检报告与应急情况处理等控制文件</w:t>
      </w:r>
      <w:r>
        <w:rPr>
          <w:rFonts w:ascii="Times New Roman" w:cs="Times New Roman" w:hint="eastAsia"/>
          <w:kern w:val="0"/>
        </w:rPr>
        <w:t>、记录等</w:t>
      </w:r>
      <w:r>
        <w:rPr>
          <w:rFonts w:ascii="Times New Roman" w:cs="Times New Roman"/>
          <w:kern w:val="0"/>
        </w:rPr>
        <w:t>。</w:t>
      </w:r>
      <w:r>
        <w:rPr>
          <w:rFonts w:ascii="Times New Roman" w:hAnsi="Times New Roman" w:cs="Times New Roman" w:hint="eastAsia"/>
        </w:rPr>
        <w:t>内容</w:t>
      </w:r>
      <w:r>
        <w:rPr>
          <w:rFonts w:ascii="Times New Roman" w:hAnsi="Times New Roman" w:cs="Times New Roman" w:hint="eastAsia"/>
        </w:rPr>
        <w:t>真实、准确、规范，字迹清楚、不得损坏、丢失、随意涂改。</w:t>
      </w:r>
    </w:p>
    <w:p w14:paraId="107DDDCD" w14:textId="77777777" w:rsidR="00E45340" w:rsidRDefault="00166EB0">
      <w:pPr>
        <w:pStyle w:val="2"/>
        <w:rPr>
          <w:rFonts w:hint="default"/>
        </w:rPr>
      </w:pPr>
      <w:r>
        <w:rPr>
          <w:rFonts w:hint="default"/>
        </w:rPr>
        <w:t xml:space="preserve">12.2 </w:t>
      </w:r>
      <w:r>
        <w:rPr>
          <w:rFonts w:hint="default"/>
        </w:rPr>
        <w:t>可追溯体系</w:t>
      </w:r>
    </w:p>
    <w:p w14:paraId="7CB7EEDC" w14:textId="6A9A4817" w:rsidR="00E45340" w:rsidRDefault="00166EB0">
      <w:pPr>
        <w:autoSpaceDE w:val="0"/>
        <w:autoSpaceDN w:val="0"/>
        <w:ind w:firstLine="420"/>
      </w:pPr>
      <w:r>
        <w:rPr>
          <w:rFonts w:ascii="Times New Roman" w:cs="Times New Roman"/>
          <w:szCs w:val="21"/>
        </w:rPr>
        <w:t>按照生产加工企业追溯制度要求建立</w:t>
      </w:r>
      <w:r>
        <w:rPr>
          <w:rFonts w:cs="Times New Roman" w:hint="eastAsia"/>
          <w:szCs w:val="21"/>
        </w:rPr>
        <w:t>绿色食品</w:t>
      </w:r>
      <w:r>
        <w:rPr>
          <w:rFonts w:ascii="Times New Roman" w:cs="Times New Roman"/>
          <w:kern w:val="0"/>
          <w:szCs w:val="21"/>
        </w:rPr>
        <w:t>可追溯体系，生产、加工、储藏、销售</w:t>
      </w:r>
      <w:r>
        <w:rPr>
          <w:rFonts w:ascii="Times New Roman" w:cs="Times New Roman"/>
          <w:kern w:val="0"/>
          <w:szCs w:val="21"/>
        </w:rPr>
        <w:lastRenderedPageBreak/>
        <w:t>等环节，有连续的、可追踪的生产批号系统，根据批号系统能查询到完整的档案记录</w:t>
      </w:r>
      <w:r>
        <w:rPr>
          <w:rFonts w:ascii="Times New Roman" w:cs="Times New Roman" w:hint="eastAsia"/>
          <w:kern w:val="0"/>
          <w:szCs w:val="21"/>
        </w:rPr>
        <w:t>，</w:t>
      </w:r>
      <w:r>
        <w:rPr>
          <w:rFonts w:ascii="Times New Roman" w:hint="eastAsia"/>
          <w:szCs w:val="20"/>
        </w:rPr>
        <w:t>确保从原料采购到产品销售各环节可进行有效追溯。</w:t>
      </w:r>
    </w:p>
    <w:p w14:paraId="7B4A3444" w14:textId="77777777" w:rsidR="00E45340" w:rsidRDefault="00E45340">
      <w:pPr>
        <w:pStyle w:val="a5"/>
        <w:ind w:firstLine="420"/>
      </w:pPr>
    </w:p>
    <w:p w14:paraId="2CA3EDA9" w14:textId="77777777" w:rsidR="00E45340" w:rsidRDefault="00166EB0">
      <w:pPr>
        <w:pStyle w:val="2"/>
        <w:rPr>
          <w:rFonts w:hint="default"/>
        </w:rPr>
      </w:pPr>
      <w:r>
        <w:rPr>
          <w:rFonts w:hint="default"/>
        </w:rPr>
        <w:t xml:space="preserve">12.3 </w:t>
      </w:r>
      <w:r>
        <w:rPr>
          <w:rFonts w:hint="default"/>
        </w:rPr>
        <w:t>档案保管</w:t>
      </w:r>
    </w:p>
    <w:p w14:paraId="06C4924D" w14:textId="77777777" w:rsidR="00E45340" w:rsidRDefault="00166EB0">
      <w:pPr>
        <w:pStyle w:val="a5"/>
        <w:ind w:firstLine="420"/>
      </w:pPr>
      <w:r>
        <w:t>所有记录应完整、真实、规范、字迹清楚，档案记录应保存</w:t>
      </w:r>
      <w:r>
        <w:t>3</w:t>
      </w:r>
      <w:r>
        <w:t>年以上，档案资料由专人保管。</w:t>
      </w:r>
    </w:p>
    <w:sectPr w:rsidR="00E45340">
      <w:headerReference w:type="even" r:id="rId18"/>
      <w:headerReference w:type="default" r:id="rId19"/>
      <w:footerReference w:type="even" r:id="rId20"/>
      <w:footerReference w:type="default" r:id="rId21"/>
      <w:headerReference w:type="first" r:id="rId22"/>
      <w:pgSz w:w="11906" w:h="16838"/>
      <w:pgMar w:top="1440" w:right="1814" w:bottom="1440" w:left="1814"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15C06" w14:textId="77777777" w:rsidR="00166EB0" w:rsidRDefault="00166EB0">
      <w:pPr>
        <w:spacing w:line="240" w:lineRule="auto"/>
        <w:ind w:firstLine="420"/>
      </w:pPr>
      <w:r>
        <w:separator/>
      </w:r>
    </w:p>
  </w:endnote>
  <w:endnote w:type="continuationSeparator" w:id="0">
    <w:p w14:paraId="54B95353" w14:textId="77777777" w:rsidR="00166EB0" w:rsidRDefault="00166EB0">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FZSSK--GBK1-0">
    <w:altName w:val="Calibri"/>
    <w:charset w:val="00"/>
    <w:family w:val="auto"/>
    <w:pitch w:val="default"/>
  </w:font>
  <w:font w:name="Calibri">
    <w:panose1 w:val="020F0502020204030204"/>
    <w:charset w:val="00"/>
    <w:family w:val="swiss"/>
    <w:pitch w:val="variable"/>
    <w:sig w:usb0="E10002FF" w:usb1="4000ACFF" w:usb2="00000009" w:usb3="00000000" w:csb0="0000019F" w:csb1="00000000"/>
  </w:font>
  <w:font w:name="华文中宋">
    <w:altName w:val="汉仪中宋简"/>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07766" w14:textId="77777777" w:rsidR="00E45340" w:rsidRDefault="00E45340">
    <w:pPr>
      <w:pStyle w:val="a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51E8F" w14:textId="77777777" w:rsidR="00E45340" w:rsidRDefault="00E45340">
    <w:pPr>
      <w:pStyle w:val="a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8E954" w14:textId="77777777" w:rsidR="00E45340" w:rsidRDefault="00E45340">
    <w:pPr>
      <w:pStyle w:val="a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FEAF1" w14:textId="77777777" w:rsidR="00E45340" w:rsidRDefault="00E45340">
    <w:pPr>
      <w:pStyle w:val="a8"/>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
    </w:sdtPr>
    <w:sdtEndPr/>
    <w:sdtContent>
      <w:p w14:paraId="2C3CBE9D" w14:textId="77777777" w:rsidR="00E45340" w:rsidRDefault="00166EB0">
        <w:pPr>
          <w:pStyle w:val="a8"/>
          <w:ind w:firstLineChars="0" w:firstLine="0"/>
        </w:pPr>
        <w:r>
          <w:fldChar w:fldCharType="begin"/>
        </w:r>
        <w:r>
          <w:instrText>PAGE   \* MERGEFORMAT</w:instrText>
        </w:r>
        <w:r>
          <w:fldChar w:fldCharType="separate"/>
        </w:r>
        <w:r w:rsidR="004A6D80" w:rsidRPr="004A6D80">
          <w:rPr>
            <w:noProof/>
            <w:lang w:val="zh-CN"/>
          </w:rPr>
          <w:t>2</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4426955"/>
    </w:sdtPr>
    <w:sdtEndPr/>
    <w:sdtContent>
      <w:p w14:paraId="31468BF3" w14:textId="77777777" w:rsidR="00E45340" w:rsidRDefault="00166EB0">
        <w:pPr>
          <w:pStyle w:val="a8"/>
          <w:ind w:firstLine="360"/>
          <w:jc w:val="right"/>
        </w:pPr>
        <w:r>
          <w:fldChar w:fldCharType="begin"/>
        </w:r>
        <w:r>
          <w:instrText>PAGE   \* MERGEFORMAT</w:instrText>
        </w:r>
        <w:r>
          <w:fldChar w:fldCharType="separate"/>
        </w:r>
        <w:r w:rsidR="004A6D80" w:rsidRPr="004A6D80">
          <w:rPr>
            <w:noProof/>
            <w:lang w:val="zh-CN"/>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C0318" w14:textId="77777777" w:rsidR="00166EB0" w:rsidRDefault="00166EB0">
      <w:pPr>
        <w:ind w:firstLine="420"/>
      </w:pPr>
      <w:r>
        <w:separator/>
      </w:r>
    </w:p>
  </w:footnote>
  <w:footnote w:type="continuationSeparator" w:id="0">
    <w:p w14:paraId="3B893225" w14:textId="77777777" w:rsidR="00166EB0" w:rsidRDefault="00166EB0">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038B1" w14:textId="77777777" w:rsidR="00E45340" w:rsidRDefault="00166EB0">
    <w:pPr>
      <w:pStyle w:val="a9"/>
      <w:ind w:firstLine="360"/>
    </w:pPr>
    <w:r>
      <w:pict w14:anchorId="17339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0" o:spid="_x0000_s2050" type="#_x0000_t75" style="position:absolute;left:0;text-align:left;margin-left:0;margin-top:0;width:413.85pt;height:385.7pt;z-index:-25165312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781B4" w14:textId="77777777" w:rsidR="00E45340" w:rsidRDefault="00166EB0">
    <w:pPr>
      <w:pStyle w:val="a9"/>
      <w:ind w:firstLine="360"/>
    </w:pPr>
    <w:r>
      <w:pict w14:anchorId="1BD8C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1" o:spid="_x0000_s2051" type="#_x0000_t75" style="position:absolute;left:0;text-align:left;margin-left:0;margin-top:0;width:413.85pt;height:385.7pt;z-index:-25165209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C846B" w14:textId="77777777" w:rsidR="00E45340" w:rsidRDefault="00166EB0">
    <w:pPr>
      <w:pStyle w:val="a9"/>
      <w:ind w:firstLine="360"/>
    </w:pPr>
    <w:r>
      <w:pict w14:anchorId="58368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39" o:spid="_x0000_s2049" type="#_x0000_t75" style="position:absolute;left:0;text-align:left;margin-left:0;margin-top:0;width:413.85pt;height:385.7pt;z-index:-25165414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4E532" w14:textId="77777777" w:rsidR="00E45340" w:rsidRDefault="00166EB0">
    <w:pPr>
      <w:pStyle w:val="a9"/>
      <w:ind w:firstLine="360"/>
    </w:pPr>
    <w:r>
      <w:pict w14:anchorId="6C8B32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3" o:spid="_x0000_s2053" type="#_x0000_t75" style="position:absolute;left:0;text-align:left;margin-left:0;margin-top:0;width:413.85pt;height:385.7pt;z-index:-25165004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940A7" w14:textId="77777777" w:rsidR="00E45340" w:rsidRDefault="00166EB0">
    <w:pPr>
      <w:pStyle w:val="a9"/>
      <w:ind w:firstLine="360"/>
    </w:pPr>
    <w:r>
      <w:pict w14:anchorId="65E9A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4" o:spid="_x0000_s2054" type="#_x0000_t75" style="position:absolute;left:0;text-align:left;margin-left:0;margin-top:0;width:413.85pt;height:385.7pt;z-index:-25164902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B358C" w14:textId="77777777" w:rsidR="00E45340" w:rsidRDefault="00166EB0">
    <w:pPr>
      <w:pStyle w:val="a9"/>
      <w:ind w:firstLine="360"/>
    </w:pPr>
    <w:r>
      <w:pict w14:anchorId="668FA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2" o:spid="_x0000_s2052" type="#_x0000_t75" style="position:absolute;left:0;text-align:left;margin-left:0;margin-top:0;width:413.85pt;height:385.7pt;z-index:-251651072;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8CFA4" w14:textId="77777777" w:rsidR="00E45340" w:rsidRDefault="00166EB0">
    <w:pPr>
      <w:pStyle w:val="a9"/>
      <w:ind w:firstLineChars="0" w:firstLine="0"/>
    </w:pPr>
    <w:r>
      <w:pict w14:anchorId="1EB98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6" o:spid="_x0000_s2056" type="#_x0000_t75" style="position:absolute;left:0;text-align:left;margin-left:0;margin-top:0;width:413.85pt;height:385.7pt;z-index:-25164697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F74DA" w14:textId="77777777" w:rsidR="00E45340" w:rsidRDefault="00166EB0">
    <w:pPr>
      <w:pStyle w:val="a9"/>
      <w:ind w:firstLine="360"/>
    </w:pPr>
    <w:r>
      <w:pict w14:anchorId="5125E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7" o:spid="_x0000_s2057" type="#_x0000_t75" style="position:absolute;left:0;text-align:left;margin-left:0;margin-top:0;width:413.85pt;height:385.7pt;z-index:-251645952;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A13CD" w14:textId="77777777" w:rsidR="00E45340" w:rsidRDefault="00166EB0">
    <w:pPr>
      <w:pStyle w:val="a9"/>
      <w:ind w:firstLine="360"/>
    </w:pPr>
    <w:r>
      <w:pict w14:anchorId="30AFE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5" o:spid="_x0000_s2055" type="#_x0000_t75" style="position:absolute;left:0;text-align:left;margin-left:0;margin-top:0;width:413.85pt;height:385.7pt;z-index:-25164800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efaultTabStop w:val="420"/>
  <w:evenAndOddHeaders/>
  <w:drawingGridHorizontalSpacing w:val="105"/>
  <w:drawingGridVerticalSpacing w:val="156"/>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Mjg3ZmRjMTBkMGFiOTFiYWVlYjY3MDAzNmVmMDAifQ=="/>
    <w:docVar w:name="KSOReumeCategoryDocument" w:val="0"/>
  </w:docVars>
  <w:rsids>
    <w:rsidRoot w:val="5CB24E8C"/>
    <w:rsid w:val="D49F2DAC"/>
    <w:rsid w:val="EFD7EFB2"/>
    <w:rsid w:val="EFFF43D2"/>
    <w:rsid w:val="F5EEE4B4"/>
    <w:rsid w:val="F7575032"/>
    <w:rsid w:val="FB7B0749"/>
    <w:rsid w:val="FCFBDAD8"/>
    <w:rsid w:val="FE7FD56B"/>
    <w:rsid w:val="FEACA116"/>
    <w:rsid w:val="FFB90346"/>
    <w:rsid w:val="FFE35576"/>
    <w:rsid w:val="00031958"/>
    <w:rsid w:val="00033B5D"/>
    <w:rsid w:val="00035D9D"/>
    <w:rsid w:val="00040EB1"/>
    <w:rsid w:val="00041C7E"/>
    <w:rsid w:val="00043ACC"/>
    <w:rsid w:val="00067404"/>
    <w:rsid w:val="00077082"/>
    <w:rsid w:val="0008654F"/>
    <w:rsid w:val="00090A53"/>
    <w:rsid w:val="000A4782"/>
    <w:rsid w:val="000B7C3E"/>
    <w:rsid w:val="000C259C"/>
    <w:rsid w:val="000D19F5"/>
    <w:rsid w:val="000E387D"/>
    <w:rsid w:val="000E60F9"/>
    <w:rsid w:val="000E69E3"/>
    <w:rsid w:val="0010720B"/>
    <w:rsid w:val="0011228D"/>
    <w:rsid w:val="001146D9"/>
    <w:rsid w:val="001313F5"/>
    <w:rsid w:val="00135254"/>
    <w:rsid w:val="00135B68"/>
    <w:rsid w:val="00146E1F"/>
    <w:rsid w:val="00147137"/>
    <w:rsid w:val="00165F5E"/>
    <w:rsid w:val="00166EB0"/>
    <w:rsid w:val="00186F39"/>
    <w:rsid w:val="001A29FB"/>
    <w:rsid w:val="001B0CFA"/>
    <w:rsid w:val="001B5C32"/>
    <w:rsid w:val="001C552E"/>
    <w:rsid w:val="001D0A1F"/>
    <w:rsid w:val="001D2B84"/>
    <w:rsid w:val="001E77B1"/>
    <w:rsid w:val="001F784B"/>
    <w:rsid w:val="00204E3E"/>
    <w:rsid w:val="00211E40"/>
    <w:rsid w:val="002160D8"/>
    <w:rsid w:val="00233A0A"/>
    <w:rsid w:val="002460B4"/>
    <w:rsid w:val="00247601"/>
    <w:rsid w:val="002569AC"/>
    <w:rsid w:val="00257FBD"/>
    <w:rsid w:val="00292DB0"/>
    <w:rsid w:val="00296C4D"/>
    <w:rsid w:val="002B5F38"/>
    <w:rsid w:val="002D6273"/>
    <w:rsid w:val="002F53F1"/>
    <w:rsid w:val="0030414F"/>
    <w:rsid w:val="0030470C"/>
    <w:rsid w:val="00313BD8"/>
    <w:rsid w:val="003148F3"/>
    <w:rsid w:val="00323A21"/>
    <w:rsid w:val="00332DE9"/>
    <w:rsid w:val="00341C3F"/>
    <w:rsid w:val="00371CCF"/>
    <w:rsid w:val="00373546"/>
    <w:rsid w:val="00382CB6"/>
    <w:rsid w:val="003A1F91"/>
    <w:rsid w:val="003B5D99"/>
    <w:rsid w:val="003C5B73"/>
    <w:rsid w:val="003D4842"/>
    <w:rsid w:val="003E47F6"/>
    <w:rsid w:val="003E70F4"/>
    <w:rsid w:val="003F3435"/>
    <w:rsid w:val="00434840"/>
    <w:rsid w:val="004435BA"/>
    <w:rsid w:val="00446E4E"/>
    <w:rsid w:val="00451E5E"/>
    <w:rsid w:val="00481E29"/>
    <w:rsid w:val="004966E9"/>
    <w:rsid w:val="004A0BB9"/>
    <w:rsid w:val="004A6D80"/>
    <w:rsid w:val="004B4338"/>
    <w:rsid w:val="004D5D13"/>
    <w:rsid w:val="00502C4C"/>
    <w:rsid w:val="005044AA"/>
    <w:rsid w:val="00505BC2"/>
    <w:rsid w:val="00506E72"/>
    <w:rsid w:val="00512A7E"/>
    <w:rsid w:val="005148C7"/>
    <w:rsid w:val="0053240E"/>
    <w:rsid w:val="00557BEF"/>
    <w:rsid w:val="0057603F"/>
    <w:rsid w:val="005847C8"/>
    <w:rsid w:val="005E20A7"/>
    <w:rsid w:val="0061324D"/>
    <w:rsid w:val="00625259"/>
    <w:rsid w:val="0064097F"/>
    <w:rsid w:val="00646A5D"/>
    <w:rsid w:val="006625E2"/>
    <w:rsid w:val="00662928"/>
    <w:rsid w:val="0067472E"/>
    <w:rsid w:val="00687114"/>
    <w:rsid w:val="006B67C8"/>
    <w:rsid w:val="006B7118"/>
    <w:rsid w:val="006D16C2"/>
    <w:rsid w:val="006D6854"/>
    <w:rsid w:val="007055D7"/>
    <w:rsid w:val="007436E9"/>
    <w:rsid w:val="00761A56"/>
    <w:rsid w:val="007827C9"/>
    <w:rsid w:val="00782D86"/>
    <w:rsid w:val="007967A4"/>
    <w:rsid w:val="007A76AB"/>
    <w:rsid w:val="007C2971"/>
    <w:rsid w:val="007C5162"/>
    <w:rsid w:val="007C7985"/>
    <w:rsid w:val="007D1F5A"/>
    <w:rsid w:val="007D6FCA"/>
    <w:rsid w:val="007E1FB0"/>
    <w:rsid w:val="007E4E5F"/>
    <w:rsid w:val="007F719B"/>
    <w:rsid w:val="00801B1D"/>
    <w:rsid w:val="0082665A"/>
    <w:rsid w:val="00835D76"/>
    <w:rsid w:val="00840D6A"/>
    <w:rsid w:val="008414DD"/>
    <w:rsid w:val="00845391"/>
    <w:rsid w:val="00862811"/>
    <w:rsid w:val="008743E0"/>
    <w:rsid w:val="008802BF"/>
    <w:rsid w:val="0089591B"/>
    <w:rsid w:val="008A2EFB"/>
    <w:rsid w:val="008A4AF7"/>
    <w:rsid w:val="008B7A8D"/>
    <w:rsid w:val="008C17B2"/>
    <w:rsid w:val="008C2C21"/>
    <w:rsid w:val="008E3D18"/>
    <w:rsid w:val="008F2958"/>
    <w:rsid w:val="00921BF0"/>
    <w:rsid w:val="009220C2"/>
    <w:rsid w:val="00923386"/>
    <w:rsid w:val="0093366A"/>
    <w:rsid w:val="00973CB6"/>
    <w:rsid w:val="009749CF"/>
    <w:rsid w:val="00977CE6"/>
    <w:rsid w:val="00992C62"/>
    <w:rsid w:val="009A0D0C"/>
    <w:rsid w:val="009B3BDF"/>
    <w:rsid w:val="009D1D43"/>
    <w:rsid w:val="009D4D92"/>
    <w:rsid w:val="009F27C1"/>
    <w:rsid w:val="00A27CE4"/>
    <w:rsid w:val="00A52AC3"/>
    <w:rsid w:val="00A80087"/>
    <w:rsid w:val="00A84920"/>
    <w:rsid w:val="00A93439"/>
    <w:rsid w:val="00AA2FD7"/>
    <w:rsid w:val="00AB3A9A"/>
    <w:rsid w:val="00AF3B21"/>
    <w:rsid w:val="00B057D6"/>
    <w:rsid w:val="00B24E39"/>
    <w:rsid w:val="00B5088E"/>
    <w:rsid w:val="00B75B3C"/>
    <w:rsid w:val="00B9449C"/>
    <w:rsid w:val="00B9502F"/>
    <w:rsid w:val="00BA0798"/>
    <w:rsid w:val="00BB214B"/>
    <w:rsid w:val="00BB47E5"/>
    <w:rsid w:val="00BE2E04"/>
    <w:rsid w:val="00BF4FD0"/>
    <w:rsid w:val="00C00753"/>
    <w:rsid w:val="00C1476E"/>
    <w:rsid w:val="00C2279E"/>
    <w:rsid w:val="00C255C8"/>
    <w:rsid w:val="00C30780"/>
    <w:rsid w:val="00C436C2"/>
    <w:rsid w:val="00C4557A"/>
    <w:rsid w:val="00C7616D"/>
    <w:rsid w:val="00C7706B"/>
    <w:rsid w:val="00C96690"/>
    <w:rsid w:val="00CA1924"/>
    <w:rsid w:val="00CB5CC2"/>
    <w:rsid w:val="00CD77CB"/>
    <w:rsid w:val="00CE1997"/>
    <w:rsid w:val="00CE3882"/>
    <w:rsid w:val="00D10710"/>
    <w:rsid w:val="00D13B99"/>
    <w:rsid w:val="00D17417"/>
    <w:rsid w:val="00D33AAE"/>
    <w:rsid w:val="00D41136"/>
    <w:rsid w:val="00D71F58"/>
    <w:rsid w:val="00DB34C6"/>
    <w:rsid w:val="00DB6495"/>
    <w:rsid w:val="00DD7DFD"/>
    <w:rsid w:val="00DF55F5"/>
    <w:rsid w:val="00DF7D88"/>
    <w:rsid w:val="00E16D7D"/>
    <w:rsid w:val="00E20CF3"/>
    <w:rsid w:val="00E21EFD"/>
    <w:rsid w:val="00E22906"/>
    <w:rsid w:val="00E25A4F"/>
    <w:rsid w:val="00E33405"/>
    <w:rsid w:val="00E42E83"/>
    <w:rsid w:val="00E45340"/>
    <w:rsid w:val="00EA1BA7"/>
    <w:rsid w:val="00EB142F"/>
    <w:rsid w:val="00EB68D0"/>
    <w:rsid w:val="00EC2ACA"/>
    <w:rsid w:val="00ED00C2"/>
    <w:rsid w:val="00ED7C65"/>
    <w:rsid w:val="00EF49D2"/>
    <w:rsid w:val="00F16B96"/>
    <w:rsid w:val="00F21742"/>
    <w:rsid w:val="00F8706B"/>
    <w:rsid w:val="00FA6E82"/>
    <w:rsid w:val="00FB4434"/>
    <w:rsid w:val="00FD6B45"/>
    <w:rsid w:val="00FF226C"/>
    <w:rsid w:val="00FF75E5"/>
    <w:rsid w:val="01120B68"/>
    <w:rsid w:val="011C24A7"/>
    <w:rsid w:val="01263D97"/>
    <w:rsid w:val="012B6978"/>
    <w:rsid w:val="013942D5"/>
    <w:rsid w:val="01860781"/>
    <w:rsid w:val="01884C50"/>
    <w:rsid w:val="01AC209A"/>
    <w:rsid w:val="01C77396"/>
    <w:rsid w:val="01F74790"/>
    <w:rsid w:val="021F6ED0"/>
    <w:rsid w:val="023136D3"/>
    <w:rsid w:val="023F1A9A"/>
    <w:rsid w:val="026B01BB"/>
    <w:rsid w:val="026F329F"/>
    <w:rsid w:val="02B94E76"/>
    <w:rsid w:val="02E2057E"/>
    <w:rsid w:val="033261E8"/>
    <w:rsid w:val="036855D0"/>
    <w:rsid w:val="037E4FDB"/>
    <w:rsid w:val="043E0CE5"/>
    <w:rsid w:val="044E3A27"/>
    <w:rsid w:val="04D15F5F"/>
    <w:rsid w:val="04E612D9"/>
    <w:rsid w:val="04F85848"/>
    <w:rsid w:val="05117CBC"/>
    <w:rsid w:val="05440007"/>
    <w:rsid w:val="056C33A4"/>
    <w:rsid w:val="05774A26"/>
    <w:rsid w:val="05AD53E6"/>
    <w:rsid w:val="05B73279"/>
    <w:rsid w:val="05ED4BE4"/>
    <w:rsid w:val="05F80A86"/>
    <w:rsid w:val="061E1235"/>
    <w:rsid w:val="06452160"/>
    <w:rsid w:val="065B03BA"/>
    <w:rsid w:val="0672183D"/>
    <w:rsid w:val="06B575FC"/>
    <w:rsid w:val="07351213"/>
    <w:rsid w:val="074E0B1D"/>
    <w:rsid w:val="07520C39"/>
    <w:rsid w:val="075E311E"/>
    <w:rsid w:val="0762758E"/>
    <w:rsid w:val="07836821"/>
    <w:rsid w:val="07B05D4C"/>
    <w:rsid w:val="07BE7258"/>
    <w:rsid w:val="07BF34AC"/>
    <w:rsid w:val="07D973F7"/>
    <w:rsid w:val="07E221D6"/>
    <w:rsid w:val="08094350"/>
    <w:rsid w:val="080A2B5E"/>
    <w:rsid w:val="08222A9C"/>
    <w:rsid w:val="084722A3"/>
    <w:rsid w:val="084A5454"/>
    <w:rsid w:val="08574EAE"/>
    <w:rsid w:val="08A329C5"/>
    <w:rsid w:val="08B34D18"/>
    <w:rsid w:val="08B35564"/>
    <w:rsid w:val="08DE72B8"/>
    <w:rsid w:val="090E038A"/>
    <w:rsid w:val="091D6246"/>
    <w:rsid w:val="094708FC"/>
    <w:rsid w:val="094F14B0"/>
    <w:rsid w:val="09604A81"/>
    <w:rsid w:val="096A255E"/>
    <w:rsid w:val="099A0B38"/>
    <w:rsid w:val="099B3473"/>
    <w:rsid w:val="09D02323"/>
    <w:rsid w:val="0A092BFE"/>
    <w:rsid w:val="0A3E6D37"/>
    <w:rsid w:val="0A4D2F86"/>
    <w:rsid w:val="0A7B2249"/>
    <w:rsid w:val="0AAB259E"/>
    <w:rsid w:val="0AC214AB"/>
    <w:rsid w:val="0AE401AC"/>
    <w:rsid w:val="0B1010A4"/>
    <w:rsid w:val="0B11050A"/>
    <w:rsid w:val="0B2211D7"/>
    <w:rsid w:val="0B236998"/>
    <w:rsid w:val="0B557982"/>
    <w:rsid w:val="0B732DC0"/>
    <w:rsid w:val="0B796588"/>
    <w:rsid w:val="0B7F3B84"/>
    <w:rsid w:val="0B993ADD"/>
    <w:rsid w:val="0B9B448C"/>
    <w:rsid w:val="0BC57CA4"/>
    <w:rsid w:val="0BD1365B"/>
    <w:rsid w:val="0BD649F9"/>
    <w:rsid w:val="0BE42927"/>
    <w:rsid w:val="0BF7697D"/>
    <w:rsid w:val="0C090835"/>
    <w:rsid w:val="0C39666D"/>
    <w:rsid w:val="0C3D0AAD"/>
    <w:rsid w:val="0C3E5A09"/>
    <w:rsid w:val="0CA17CB5"/>
    <w:rsid w:val="0CAB27A8"/>
    <w:rsid w:val="0CB0295D"/>
    <w:rsid w:val="0CD2077C"/>
    <w:rsid w:val="0CD2630D"/>
    <w:rsid w:val="0CE32759"/>
    <w:rsid w:val="0DA55B77"/>
    <w:rsid w:val="0DD257B5"/>
    <w:rsid w:val="0DFC27BA"/>
    <w:rsid w:val="0E0A00D4"/>
    <w:rsid w:val="0E320DF5"/>
    <w:rsid w:val="0E435882"/>
    <w:rsid w:val="0E4806A0"/>
    <w:rsid w:val="0E4B4607"/>
    <w:rsid w:val="0E6F1130"/>
    <w:rsid w:val="0EAE2689"/>
    <w:rsid w:val="0F337DA7"/>
    <w:rsid w:val="0F50207D"/>
    <w:rsid w:val="0F583E12"/>
    <w:rsid w:val="0F9D2914"/>
    <w:rsid w:val="0FA72AAE"/>
    <w:rsid w:val="0FAD508A"/>
    <w:rsid w:val="0FB30E6B"/>
    <w:rsid w:val="0FE15849"/>
    <w:rsid w:val="0FF21D13"/>
    <w:rsid w:val="100D7387"/>
    <w:rsid w:val="101B70FA"/>
    <w:rsid w:val="102B612C"/>
    <w:rsid w:val="103939DF"/>
    <w:rsid w:val="104C4DC9"/>
    <w:rsid w:val="106C5A2D"/>
    <w:rsid w:val="106F2FF5"/>
    <w:rsid w:val="10AA0EBA"/>
    <w:rsid w:val="10C905BF"/>
    <w:rsid w:val="10EA13B2"/>
    <w:rsid w:val="10EF321A"/>
    <w:rsid w:val="10F554CF"/>
    <w:rsid w:val="1105528C"/>
    <w:rsid w:val="110C52FC"/>
    <w:rsid w:val="114212A4"/>
    <w:rsid w:val="11445FD1"/>
    <w:rsid w:val="115A1BA0"/>
    <w:rsid w:val="11676A39"/>
    <w:rsid w:val="11A073BA"/>
    <w:rsid w:val="11AC6C64"/>
    <w:rsid w:val="122D55E8"/>
    <w:rsid w:val="12307EE0"/>
    <w:rsid w:val="123530DF"/>
    <w:rsid w:val="12591D54"/>
    <w:rsid w:val="126A57C6"/>
    <w:rsid w:val="126E74D4"/>
    <w:rsid w:val="126F5FCA"/>
    <w:rsid w:val="128861C6"/>
    <w:rsid w:val="12923A21"/>
    <w:rsid w:val="12DC5426"/>
    <w:rsid w:val="12E97239"/>
    <w:rsid w:val="12FD1CBA"/>
    <w:rsid w:val="130C5FE0"/>
    <w:rsid w:val="13117688"/>
    <w:rsid w:val="13245632"/>
    <w:rsid w:val="135A15CB"/>
    <w:rsid w:val="13777E5B"/>
    <w:rsid w:val="13D87700"/>
    <w:rsid w:val="13D87D17"/>
    <w:rsid w:val="13E1761B"/>
    <w:rsid w:val="13F943EC"/>
    <w:rsid w:val="14107BE5"/>
    <w:rsid w:val="14120EC2"/>
    <w:rsid w:val="142F4067"/>
    <w:rsid w:val="14867230"/>
    <w:rsid w:val="149C56E1"/>
    <w:rsid w:val="149D77FF"/>
    <w:rsid w:val="15133973"/>
    <w:rsid w:val="15213D67"/>
    <w:rsid w:val="15371498"/>
    <w:rsid w:val="155C116E"/>
    <w:rsid w:val="156B3D0C"/>
    <w:rsid w:val="157D2288"/>
    <w:rsid w:val="15810E9F"/>
    <w:rsid w:val="158D21CF"/>
    <w:rsid w:val="159B59F1"/>
    <w:rsid w:val="15B667B5"/>
    <w:rsid w:val="15DF3716"/>
    <w:rsid w:val="15E73671"/>
    <w:rsid w:val="15F85025"/>
    <w:rsid w:val="162375FD"/>
    <w:rsid w:val="16297F7A"/>
    <w:rsid w:val="1634517A"/>
    <w:rsid w:val="163C2DF7"/>
    <w:rsid w:val="16590DEB"/>
    <w:rsid w:val="16740386"/>
    <w:rsid w:val="16923B1C"/>
    <w:rsid w:val="16B73991"/>
    <w:rsid w:val="16EB095E"/>
    <w:rsid w:val="16F17649"/>
    <w:rsid w:val="16F86DEF"/>
    <w:rsid w:val="16FB1DE2"/>
    <w:rsid w:val="17160861"/>
    <w:rsid w:val="171C1145"/>
    <w:rsid w:val="175767C5"/>
    <w:rsid w:val="176D19BE"/>
    <w:rsid w:val="17785590"/>
    <w:rsid w:val="178C4794"/>
    <w:rsid w:val="17A07680"/>
    <w:rsid w:val="17B076D6"/>
    <w:rsid w:val="17B16E58"/>
    <w:rsid w:val="18176606"/>
    <w:rsid w:val="18693AFA"/>
    <w:rsid w:val="18775D7C"/>
    <w:rsid w:val="18954AB5"/>
    <w:rsid w:val="18A6526A"/>
    <w:rsid w:val="18AE458F"/>
    <w:rsid w:val="18B82E0C"/>
    <w:rsid w:val="18D41222"/>
    <w:rsid w:val="18D82CA2"/>
    <w:rsid w:val="190026CA"/>
    <w:rsid w:val="19186CE0"/>
    <w:rsid w:val="194C7557"/>
    <w:rsid w:val="19DF6EE4"/>
    <w:rsid w:val="1A4A4345"/>
    <w:rsid w:val="1A5560EA"/>
    <w:rsid w:val="1A610FBE"/>
    <w:rsid w:val="1A6954DC"/>
    <w:rsid w:val="1A703D30"/>
    <w:rsid w:val="1A814D56"/>
    <w:rsid w:val="1AA447DC"/>
    <w:rsid w:val="1AB50AC2"/>
    <w:rsid w:val="1ABA0D4E"/>
    <w:rsid w:val="1ACD773F"/>
    <w:rsid w:val="1B0A50CB"/>
    <w:rsid w:val="1B0C122A"/>
    <w:rsid w:val="1B136828"/>
    <w:rsid w:val="1B2E5BD4"/>
    <w:rsid w:val="1B471BB5"/>
    <w:rsid w:val="1B725ABE"/>
    <w:rsid w:val="1B9E2D40"/>
    <w:rsid w:val="1BCA7428"/>
    <w:rsid w:val="1BD530E9"/>
    <w:rsid w:val="1C011F24"/>
    <w:rsid w:val="1C132602"/>
    <w:rsid w:val="1C2A22C1"/>
    <w:rsid w:val="1C3E1269"/>
    <w:rsid w:val="1C412098"/>
    <w:rsid w:val="1C52479B"/>
    <w:rsid w:val="1C885BE4"/>
    <w:rsid w:val="1C911877"/>
    <w:rsid w:val="1CB61BFA"/>
    <w:rsid w:val="1CC84A13"/>
    <w:rsid w:val="1CD658A0"/>
    <w:rsid w:val="1CDA3E16"/>
    <w:rsid w:val="1CFF90AB"/>
    <w:rsid w:val="1D005A56"/>
    <w:rsid w:val="1D145010"/>
    <w:rsid w:val="1D1619D0"/>
    <w:rsid w:val="1D592B2E"/>
    <w:rsid w:val="1D5D1F84"/>
    <w:rsid w:val="1D9E7C1B"/>
    <w:rsid w:val="1DA05D09"/>
    <w:rsid w:val="1DAB3C10"/>
    <w:rsid w:val="1DC32CF9"/>
    <w:rsid w:val="1DF47A45"/>
    <w:rsid w:val="1E483686"/>
    <w:rsid w:val="1E5540F1"/>
    <w:rsid w:val="1E5E479D"/>
    <w:rsid w:val="1E8855A7"/>
    <w:rsid w:val="1E9168B0"/>
    <w:rsid w:val="1ED815E3"/>
    <w:rsid w:val="1EDB44F6"/>
    <w:rsid w:val="1EDD4E87"/>
    <w:rsid w:val="1F380BB6"/>
    <w:rsid w:val="1F5940DF"/>
    <w:rsid w:val="1F656B6D"/>
    <w:rsid w:val="1F9D0FFF"/>
    <w:rsid w:val="1FAA30E0"/>
    <w:rsid w:val="1FB8E997"/>
    <w:rsid w:val="1FBC6F31"/>
    <w:rsid w:val="1FD471B7"/>
    <w:rsid w:val="1FE518D2"/>
    <w:rsid w:val="1FEB6535"/>
    <w:rsid w:val="1FF44564"/>
    <w:rsid w:val="1FFBFAB5"/>
    <w:rsid w:val="20044471"/>
    <w:rsid w:val="20252844"/>
    <w:rsid w:val="2058341C"/>
    <w:rsid w:val="206C21C9"/>
    <w:rsid w:val="20860B9A"/>
    <w:rsid w:val="20B71BBA"/>
    <w:rsid w:val="20BC2B2A"/>
    <w:rsid w:val="20DE28DC"/>
    <w:rsid w:val="210E1065"/>
    <w:rsid w:val="211C60E8"/>
    <w:rsid w:val="21476E70"/>
    <w:rsid w:val="214B1F19"/>
    <w:rsid w:val="215E2917"/>
    <w:rsid w:val="215F787C"/>
    <w:rsid w:val="218C5EF2"/>
    <w:rsid w:val="218E520F"/>
    <w:rsid w:val="219D22ED"/>
    <w:rsid w:val="21D4600C"/>
    <w:rsid w:val="21E22A68"/>
    <w:rsid w:val="220C26EE"/>
    <w:rsid w:val="22241910"/>
    <w:rsid w:val="22C67C50"/>
    <w:rsid w:val="22CC46C2"/>
    <w:rsid w:val="22D447A0"/>
    <w:rsid w:val="238D51EB"/>
    <w:rsid w:val="239861F8"/>
    <w:rsid w:val="23A10746"/>
    <w:rsid w:val="23D42FFF"/>
    <w:rsid w:val="24193875"/>
    <w:rsid w:val="24300CFC"/>
    <w:rsid w:val="243A23DC"/>
    <w:rsid w:val="24592D24"/>
    <w:rsid w:val="24824056"/>
    <w:rsid w:val="248F70A7"/>
    <w:rsid w:val="24D2239F"/>
    <w:rsid w:val="24EE5D8A"/>
    <w:rsid w:val="253E3CB8"/>
    <w:rsid w:val="253F5DD1"/>
    <w:rsid w:val="25466E0B"/>
    <w:rsid w:val="255105C8"/>
    <w:rsid w:val="258D731D"/>
    <w:rsid w:val="259C5CD4"/>
    <w:rsid w:val="25C46CAC"/>
    <w:rsid w:val="25D67394"/>
    <w:rsid w:val="2617300F"/>
    <w:rsid w:val="262C44C0"/>
    <w:rsid w:val="263611A3"/>
    <w:rsid w:val="26515E75"/>
    <w:rsid w:val="265436F0"/>
    <w:rsid w:val="265C3FCD"/>
    <w:rsid w:val="266737F3"/>
    <w:rsid w:val="26B55938"/>
    <w:rsid w:val="26C67061"/>
    <w:rsid w:val="27066B12"/>
    <w:rsid w:val="270F6A02"/>
    <w:rsid w:val="272C3C79"/>
    <w:rsid w:val="273101FE"/>
    <w:rsid w:val="27350010"/>
    <w:rsid w:val="273E66C4"/>
    <w:rsid w:val="2748088B"/>
    <w:rsid w:val="27527B90"/>
    <w:rsid w:val="27684E62"/>
    <w:rsid w:val="277C19DF"/>
    <w:rsid w:val="278156A2"/>
    <w:rsid w:val="27933DA4"/>
    <w:rsid w:val="279A12F2"/>
    <w:rsid w:val="27AC4A0B"/>
    <w:rsid w:val="27C53F44"/>
    <w:rsid w:val="27D41894"/>
    <w:rsid w:val="280523BA"/>
    <w:rsid w:val="282C44CE"/>
    <w:rsid w:val="28486A6A"/>
    <w:rsid w:val="286B0397"/>
    <w:rsid w:val="28BF78A4"/>
    <w:rsid w:val="28C11BA6"/>
    <w:rsid w:val="28C918C2"/>
    <w:rsid w:val="28CF7134"/>
    <w:rsid w:val="28E806EC"/>
    <w:rsid w:val="290348E6"/>
    <w:rsid w:val="291C0EFD"/>
    <w:rsid w:val="296F5ECE"/>
    <w:rsid w:val="298906F6"/>
    <w:rsid w:val="29A90A6A"/>
    <w:rsid w:val="29AB6A15"/>
    <w:rsid w:val="29B52FEF"/>
    <w:rsid w:val="29FA61A8"/>
    <w:rsid w:val="2A404784"/>
    <w:rsid w:val="2A446712"/>
    <w:rsid w:val="2A5A16E8"/>
    <w:rsid w:val="2A5C5F98"/>
    <w:rsid w:val="2A69432B"/>
    <w:rsid w:val="2A6F6B07"/>
    <w:rsid w:val="2A7B0F0B"/>
    <w:rsid w:val="2A957BAE"/>
    <w:rsid w:val="2AA335C0"/>
    <w:rsid w:val="2AB444AC"/>
    <w:rsid w:val="2AC24E73"/>
    <w:rsid w:val="2AC265DD"/>
    <w:rsid w:val="2ACB48CA"/>
    <w:rsid w:val="2AE13CBF"/>
    <w:rsid w:val="2AF20CC9"/>
    <w:rsid w:val="2B1A3479"/>
    <w:rsid w:val="2B2C563F"/>
    <w:rsid w:val="2B307E2E"/>
    <w:rsid w:val="2B395C12"/>
    <w:rsid w:val="2B711D63"/>
    <w:rsid w:val="2B751D17"/>
    <w:rsid w:val="2BA46C8D"/>
    <w:rsid w:val="2BBF42A0"/>
    <w:rsid w:val="2BD6256F"/>
    <w:rsid w:val="2BFA770A"/>
    <w:rsid w:val="2C3246A8"/>
    <w:rsid w:val="2C524076"/>
    <w:rsid w:val="2C643313"/>
    <w:rsid w:val="2C947BAC"/>
    <w:rsid w:val="2C954332"/>
    <w:rsid w:val="2C9D372F"/>
    <w:rsid w:val="2CA01222"/>
    <w:rsid w:val="2CE53FC4"/>
    <w:rsid w:val="2D1800CC"/>
    <w:rsid w:val="2D1B2C14"/>
    <w:rsid w:val="2D41243F"/>
    <w:rsid w:val="2D4720A5"/>
    <w:rsid w:val="2D4F3935"/>
    <w:rsid w:val="2D69645C"/>
    <w:rsid w:val="2D81695A"/>
    <w:rsid w:val="2DC30208"/>
    <w:rsid w:val="2DFC2543"/>
    <w:rsid w:val="2E133058"/>
    <w:rsid w:val="2E30077C"/>
    <w:rsid w:val="2E8D4E60"/>
    <w:rsid w:val="2E976B29"/>
    <w:rsid w:val="2EA23AD9"/>
    <w:rsid w:val="2EA92DB5"/>
    <w:rsid w:val="2ECB483D"/>
    <w:rsid w:val="2EEA6A77"/>
    <w:rsid w:val="2F106696"/>
    <w:rsid w:val="2F23329C"/>
    <w:rsid w:val="2F7875E2"/>
    <w:rsid w:val="2F837375"/>
    <w:rsid w:val="2FB460C9"/>
    <w:rsid w:val="2FBA6BC7"/>
    <w:rsid w:val="2FBB62E6"/>
    <w:rsid w:val="2FCED889"/>
    <w:rsid w:val="2FD25C23"/>
    <w:rsid w:val="2FD416E5"/>
    <w:rsid w:val="30226512"/>
    <w:rsid w:val="3024798A"/>
    <w:rsid w:val="30992C94"/>
    <w:rsid w:val="309B58B4"/>
    <w:rsid w:val="30A73AA0"/>
    <w:rsid w:val="30B419E4"/>
    <w:rsid w:val="30B96A3C"/>
    <w:rsid w:val="30C73654"/>
    <w:rsid w:val="31125622"/>
    <w:rsid w:val="31656F2B"/>
    <w:rsid w:val="31701EBE"/>
    <w:rsid w:val="317C264A"/>
    <w:rsid w:val="319F15BF"/>
    <w:rsid w:val="31A1399E"/>
    <w:rsid w:val="31B153DD"/>
    <w:rsid w:val="31F35F86"/>
    <w:rsid w:val="31F721DE"/>
    <w:rsid w:val="322B2AAE"/>
    <w:rsid w:val="323533CA"/>
    <w:rsid w:val="327F3227"/>
    <w:rsid w:val="3286222A"/>
    <w:rsid w:val="328E79CC"/>
    <w:rsid w:val="32992332"/>
    <w:rsid w:val="32A431B5"/>
    <w:rsid w:val="32E1588D"/>
    <w:rsid w:val="333C5D80"/>
    <w:rsid w:val="33512728"/>
    <w:rsid w:val="3363120C"/>
    <w:rsid w:val="33921DC7"/>
    <w:rsid w:val="33A0223D"/>
    <w:rsid w:val="33A1205F"/>
    <w:rsid w:val="33CA5CB9"/>
    <w:rsid w:val="33E64FF8"/>
    <w:rsid w:val="34082E63"/>
    <w:rsid w:val="340F07D1"/>
    <w:rsid w:val="341F322F"/>
    <w:rsid w:val="34272281"/>
    <w:rsid w:val="34367D81"/>
    <w:rsid w:val="34695875"/>
    <w:rsid w:val="347814E2"/>
    <w:rsid w:val="347B58B0"/>
    <w:rsid w:val="34901F10"/>
    <w:rsid w:val="34906E86"/>
    <w:rsid w:val="349F1D11"/>
    <w:rsid w:val="34A17A66"/>
    <w:rsid w:val="34E022B2"/>
    <w:rsid w:val="351E02EC"/>
    <w:rsid w:val="35204894"/>
    <w:rsid w:val="35254E52"/>
    <w:rsid w:val="35290849"/>
    <w:rsid w:val="35730B26"/>
    <w:rsid w:val="358A7FAC"/>
    <w:rsid w:val="35EA5A29"/>
    <w:rsid w:val="361B46F9"/>
    <w:rsid w:val="361D4249"/>
    <w:rsid w:val="362267A6"/>
    <w:rsid w:val="362D67E0"/>
    <w:rsid w:val="36346E55"/>
    <w:rsid w:val="36406E32"/>
    <w:rsid w:val="36476214"/>
    <w:rsid w:val="3649341C"/>
    <w:rsid w:val="366853BB"/>
    <w:rsid w:val="36927F16"/>
    <w:rsid w:val="369D42E3"/>
    <w:rsid w:val="36AD4D81"/>
    <w:rsid w:val="36DC38D5"/>
    <w:rsid w:val="36E67C67"/>
    <w:rsid w:val="370244A4"/>
    <w:rsid w:val="37085083"/>
    <w:rsid w:val="37333C15"/>
    <w:rsid w:val="376A41AF"/>
    <w:rsid w:val="377201F2"/>
    <w:rsid w:val="378309A0"/>
    <w:rsid w:val="378B4434"/>
    <w:rsid w:val="379072A5"/>
    <w:rsid w:val="37943380"/>
    <w:rsid w:val="37957818"/>
    <w:rsid w:val="37AA0CEF"/>
    <w:rsid w:val="37AB63E1"/>
    <w:rsid w:val="37E60377"/>
    <w:rsid w:val="37FE2756"/>
    <w:rsid w:val="380163F8"/>
    <w:rsid w:val="385709B6"/>
    <w:rsid w:val="385B08D4"/>
    <w:rsid w:val="38656C63"/>
    <w:rsid w:val="387150D1"/>
    <w:rsid w:val="38785910"/>
    <w:rsid w:val="38880865"/>
    <w:rsid w:val="388E73A9"/>
    <w:rsid w:val="38F815D3"/>
    <w:rsid w:val="392767DA"/>
    <w:rsid w:val="39303EB0"/>
    <w:rsid w:val="39395D40"/>
    <w:rsid w:val="39722AEC"/>
    <w:rsid w:val="39DB6080"/>
    <w:rsid w:val="3A02343B"/>
    <w:rsid w:val="3A047A1E"/>
    <w:rsid w:val="3A0E199C"/>
    <w:rsid w:val="3A130E31"/>
    <w:rsid w:val="3A183925"/>
    <w:rsid w:val="3A1B7D73"/>
    <w:rsid w:val="3A227914"/>
    <w:rsid w:val="3A273849"/>
    <w:rsid w:val="3A440539"/>
    <w:rsid w:val="3A5F754B"/>
    <w:rsid w:val="3A7C7C13"/>
    <w:rsid w:val="3A985E9A"/>
    <w:rsid w:val="3AB65F15"/>
    <w:rsid w:val="3B0C16D5"/>
    <w:rsid w:val="3B190B4B"/>
    <w:rsid w:val="3B1A28D1"/>
    <w:rsid w:val="3B370C76"/>
    <w:rsid w:val="3B49164C"/>
    <w:rsid w:val="3B51086F"/>
    <w:rsid w:val="3B64696A"/>
    <w:rsid w:val="3BC91998"/>
    <w:rsid w:val="3BDD0277"/>
    <w:rsid w:val="3BF54C74"/>
    <w:rsid w:val="3BF55184"/>
    <w:rsid w:val="3C153B96"/>
    <w:rsid w:val="3CFB2780"/>
    <w:rsid w:val="3D027F14"/>
    <w:rsid w:val="3D0A65D4"/>
    <w:rsid w:val="3D0D7F3E"/>
    <w:rsid w:val="3D314871"/>
    <w:rsid w:val="3D44507C"/>
    <w:rsid w:val="3D835C13"/>
    <w:rsid w:val="3D8C2FD8"/>
    <w:rsid w:val="3D972FCA"/>
    <w:rsid w:val="3DB25171"/>
    <w:rsid w:val="3DB324E9"/>
    <w:rsid w:val="3DDC1C4A"/>
    <w:rsid w:val="3DEC52F5"/>
    <w:rsid w:val="3DF61DB8"/>
    <w:rsid w:val="3E140772"/>
    <w:rsid w:val="3E345B84"/>
    <w:rsid w:val="3E5B69EB"/>
    <w:rsid w:val="3E5B702B"/>
    <w:rsid w:val="3E6A2918"/>
    <w:rsid w:val="3ED951C1"/>
    <w:rsid w:val="3EDF00DE"/>
    <w:rsid w:val="3EDF0D3E"/>
    <w:rsid w:val="3F1C7FB8"/>
    <w:rsid w:val="3F201034"/>
    <w:rsid w:val="3F3A3E6E"/>
    <w:rsid w:val="3F567E7B"/>
    <w:rsid w:val="3F906127"/>
    <w:rsid w:val="3FBD3439"/>
    <w:rsid w:val="3FD5782D"/>
    <w:rsid w:val="3FDA1CA0"/>
    <w:rsid w:val="3FEB3071"/>
    <w:rsid w:val="3FFE0B50"/>
    <w:rsid w:val="401E2ECF"/>
    <w:rsid w:val="403170EF"/>
    <w:rsid w:val="406D11DD"/>
    <w:rsid w:val="408E5D69"/>
    <w:rsid w:val="409436AA"/>
    <w:rsid w:val="40980456"/>
    <w:rsid w:val="40C3501E"/>
    <w:rsid w:val="40C9784D"/>
    <w:rsid w:val="411D1F5C"/>
    <w:rsid w:val="41357407"/>
    <w:rsid w:val="414B7353"/>
    <w:rsid w:val="419B2E33"/>
    <w:rsid w:val="41A84015"/>
    <w:rsid w:val="41DC37CF"/>
    <w:rsid w:val="42342071"/>
    <w:rsid w:val="4256665F"/>
    <w:rsid w:val="42827573"/>
    <w:rsid w:val="429A69E0"/>
    <w:rsid w:val="42B736D5"/>
    <w:rsid w:val="430B0499"/>
    <w:rsid w:val="433F7426"/>
    <w:rsid w:val="436013CB"/>
    <w:rsid w:val="43927B31"/>
    <w:rsid w:val="439A6354"/>
    <w:rsid w:val="43F645FD"/>
    <w:rsid w:val="440D656B"/>
    <w:rsid w:val="44165862"/>
    <w:rsid w:val="442A1484"/>
    <w:rsid w:val="442C6060"/>
    <w:rsid w:val="447D16B1"/>
    <w:rsid w:val="449162B0"/>
    <w:rsid w:val="44A27698"/>
    <w:rsid w:val="44A31E3B"/>
    <w:rsid w:val="44AD6784"/>
    <w:rsid w:val="44B019B3"/>
    <w:rsid w:val="44C9617B"/>
    <w:rsid w:val="44E62248"/>
    <w:rsid w:val="44EE60A7"/>
    <w:rsid w:val="450342BB"/>
    <w:rsid w:val="450A3E48"/>
    <w:rsid w:val="450A6B87"/>
    <w:rsid w:val="451A649D"/>
    <w:rsid w:val="459455A3"/>
    <w:rsid w:val="459C1F0E"/>
    <w:rsid w:val="45B14E4C"/>
    <w:rsid w:val="45D50755"/>
    <w:rsid w:val="45DA5164"/>
    <w:rsid w:val="46465278"/>
    <w:rsid w:val="46473D01"/>
    <w:rsid w:val="465B5541"/>
    <w:rsid w:val="466C66E1"/>
    <w:rsid w:val="4671174D"/>
    <w:rsid w:val="468F0E96"/>
    <w:rsid w:val="468F455E"/>
    <w:rsid w:val="469744E6"/>
    <w:rsid w:val="469E0B20"/>
    <w:rsid w:val="469F7CD7"/>
    <w:rsid w:val="46D96049"/>
    <w:rsid w:val="46F128D9"/>
    <w:rsid w:val="470E73A5"/>
    <w:rsid w:val="474D5FAA"/>
    <w:rsid w:val="47947F45"/>
    <w:rsid w:val="47AF2718"/>
    <w:rsid w:val="47B055AD"/>
    <w:rsid w:val="47BC0D4D"/>
    <w:rsid w:val="47D66FE2"/>
    <w:rsid w:val="47DC1DB3"/>
    <w:rsid w:val="47E42D33"/>
    <w:rsid w:val="47F962D2"/>
    <w:rsid w:val="48084DEB"/>
    <w:rsid w:val="482453FB"/>
    <w:rsid w:val="48351265"/>
    <w:rsid w:val="483D0338"/>
    <w:rsid w:val="483E649D"/>
    <w:rsid w:val="484D12C5"/>
    <w:rsid w:val="48577E92"/>
    <w:rsid w:val="487467F9"/>
    <w:rsid w:val="487B4D4A"/>
    <w:rsid w:val="487F521B"/>
    <w:rsid w:val="48821E3C"/>
    <w:rsid w:val="489C3A4B"/>
    <w:rsid w:val="489E4A55"/>
    <w:rsid w:val="48A86A07"/>
    <w:rsid w:val="48CF3C39"/>
    <w:rsid w:val="48D073AC"/>
    <w:rsid w:val="48ED7E3B"/>
    <w:rsid w:val="48FD68A8"/>
    <w:rsid w:val="491B0AF3"/>
    <w:rsid w:val="49373A97"/>
    <w:rsid w:val="495370D3"/>
    <w:rsid w:val="497F373E"/>
    <w:rsid w:val="4989741A"/>
    <w:rsid w:val="49CE52A4"/>
    <w:rsid w:val="49FD6102"/>
    <w:rsid w:val="4A004FC9"/>
    <w:rsid w:val="4A234827"/>
    <w:rsid w:val="4A787586"/>
    <w:rsid w:val="4A8D571D"/>
    <w:rsid w:val="4A9B5438"/>
    <w:rsid w:val="4A9B6AD9"/>
    <w:rsid w:val="4AAD22A9"/>
    <w:rsid w:val="4AD277B7"/>
    <w:rsid w:val="4B2D4330"/>
    <w:rsid w:val="4B405D40"/>
    <w:rsid w:val="4B475E6E"/>
    <w:rsid w:val="4B541575"/>
    <w:rsid w:val="4B7649D4"/>
    <w:rsid w:val="4BA371B3"/>
    <w:rsid w:val="4BEC3B46"/>
    <w:rsid w:val="4BF61CDD"/>
    <w:rsid w:val="4C131838"/>
    <w:rsid w:val="4C145862"/>
    <w:rsid w:val="4C6B4748"/>
    <w:rsid w:val="4CAF67F7"/>
    <w:rsid w:val="4CB21EE3"/>
    <w:rsid w:val="4CB84D42"/>
    <w:rsid w:val="4CBE2EBF"/>
    <w:rsid w:val="4CD35BAA"/>
    <w:rsid w:val="4CD70819"/>
    <w:rsid w:val="4CF64D96"/>
    <w:rsid w:val="4D1431F4"/>
    <w:rsid w:val="4D6163F6"/>
    <w:rsid w:val="4D817E90"/>
    <w:rsid w:val="4D8A7051"/>
    <w:rsid w:val="4DA36FDF"/>
    <w:rsid w:val="4DA6342C"/>
    <w:rsid w:val="4DCB0EF2"/>
    <w:rsid w:val="4DE850EA"/>
    <w:rsid w:val="4DEC7C95"/>
    <w:rsid w:val="4E261992"/>
    <w:rsid w:val="4E2B10BC"/>
    <w:rsid w:val="4E557456"/>
    <w:rsid w:val="4E8B1967"/>
    <w:rsid w:val="4E8B46F2"/>
    <w:rsid w:val="4E8F5ED3"/>
    <w:rsid w:val="4EB345D2"/>
    <w:rsid w:val="4EB654F8"/>
    <w:rsid w:val="4EBA1DE5"/>
    <w:rsid w:val="4EF15802"/>
    <w:rsid w:val="4F150690"/>
    <w:rsid w:val="4F1C4CDA"/>
    <w:rsid w:val="4F692D84"/>
    <w:rsid w:val="4F772C35"/>
    <w:rsid w:val="4F7E411E"/>
    <w:rsid w:val="4F7F5AF4"/>
    <w:rsid w:val="4F84039C"/>
    <w:rsid w:val="4F952B2E"/>
    <w:rsid w:val="4F963BCD"/>
    <w:rsid w:val="4FBC20AF"/>
    <w:rsid w:val="4FC20FEF"/>
    <w:rsid w:val="5007159C"/>
    <w:rsid w:val="5009037E"/>
    <w:rsid w:val="502E69EF"/>
    <w:rsid w:val="50323B94"/>
    <w:rsid w:val="505F5BFE"/>
    <w:rsid w:val="50912B72"/>
    <w:rsid w:val="5094468D"/>
    <w:rsid w:val="50E207B6"/>
    <w:rsid w:val="510E5314"/>
    <w:rsid w:val="51123E7D"/>
    <w:rsid w:val="511B0E3B"/>
    <w:rsid w:val="515C0382"/>
    <w:rsid w:val="515F5612"/>
    <w:rsid w:val="51A46897"/>
    <w:rsid w:val="51AB7BFB"/>
    <w:rsid w:val="51B1276F"/>
    <w:rsid w:val="51C30C43"/>
    <w:rsid w:val="51E9259B"/>
    <w:rsid w:val="52106615"/>
    <w:rsid w:val="5225496F"/>
    <w:rsid w:val="523736CE"/>
    <w:rsid w:val="52512ABD"/>
    <w:rsid w:val="525E110D"/>
    <w:rsid w:val="52713761"/>
    <w:rsid w:val="527842F9"/>
    <w:rsid w:val="52C66D45"/>
    <w:rsid w:val="52C944F1"/>
    <w:rsid w:val="52E07C83"/>
    <w:rsid w:val="52EB59AE"/>
    <w:rsid w:val="52F20649"/>
    <w:rsid w:val="52F57DE0"/>
    <w:rsid w:val="5326152B"/>
    <w:rsid w:val="5334467B"/>
    <w:rsid w:val="5343795B"/>
    <w:rsid w:val="53527F13"/>
    <w:rsid w:val="535E44B2"/>
    <w:rsid w:val="53797604"/>
    <w:rsid w:val="538C2D00"/>
    <w:rsid w:val="539E1FBB"/>
    <w:rsid w:val="53B9121D"/>
    <w:rsid w:val="53BC0BE5"/>
    <w:rsid w:val="541179B2"/>
    <w:rsid w:val="542511A2"/>
    <w:rsid w:val="54303336"/>
    <w:rsid w:val="54680EC5"/>
    <w:rsid w:val="54BA3C99"/>
    <w:rsid w:val="54E12D13"/>
    <w:rsid w:val="54F7591A"/>
    <w:rsid w:val="55145B05"/>
    <w:rsid w:val="551A2782"/>
    <w:rsid w:val="551B3C3E"/>
    <w:rsid w:val="55717474"/>
    <w:rsid w:val="55922C46"/>
    <w:rsid w:val="55952DD6"/>
    <w:rsid w:val="55A35048"/>
    <w:rsid w:val="55CA4983"/>
    <w:rsid w:val="55E37A8F"/>
    <w:rsid w:val="55EE21B7"/>
    <w:rsid w:val="55F10656"/>
    <w:rsid w:val="55FB6F7A"/>
    <w:rsid w:val="560F7233"/>
    <w:rsid w:val="563E3C8A"/>
    <w:rsid w:val="568033DD"/>
    <w:rsid w:val="5680682E"/>
    <w:rsid w:val="568A3714"/>
    <w:rsid w:val="56AB5382"/>
    <w:rsid w:val="56B303C6"/>
    <w:rsid w:val="56D378E7"/>
    <w:rsid w:val="570E02A3"/>
    <w:rsid w:val="572B1EDA"/>
    <w:rsid w:val="574D741E"/>
    <w:rsid w:val="57531D7B"/>
    <w:rsid w:val="57787FE2"/>
    <w:rsid w:val="578C67B5"/>
    <w:rsid w:val="57A87E4E"/>
    <w:rsid w:val="57C929AA"/>
    <w:rsid w:val="580C7F2C"/>
    <w:rsid w:val="580E781B"/>
    <w:rsid w:val="58103547"/>
    <w:rsid w:val="58FA222A"/>
    <w:rsid w:val="5909166B"/>
    <w:rsid w:val="591D25D7"/>
    <w:rsid w:val="5940750B"/>
    <w:rsid w:val="595371E6"/>
    <w:rsid w:val="59951D78"/>
    <w:rsid w:val="59A85BE1"/>
    <w:rsid w:val="59F64C60"/>
    <w:rsid w:val="5A160516"/>
    <w:rsid w:val="5A22631B"/>
    <w:rsid w:val="5A45402D"/>
    <w:rsid w:val="5A620835"/>
    <w:rsid w:val="5A8E2B72"/>
    <w:rsid w:val="5AC33739"/>
    <w:rsid w:val="5AD128B0"/>
    <w:rsid w:val="5AD87FD4"/>
    <w:rsid w:val="5AF25653"/>
    <w:rsid w:val="5AF35396"/>
    <w:rsid w:val="5B315DF6"/>
    <w:rsid w:val="5B5D5DAC"/>
    <w:rsid w:val="5B622B85"/>
    <w:rsid w:val="5B874BA6"/>
    <w:rsid w:val="5B9D7B21"/>
    <w:rsid w:val="5BB0774A"/>
    <w:rsid w:val="5BBF1E77"/>
    <w:rsid w:val="5BC10B4F"/>
    <w:rsid w:val="5BCB72D7"/>
    <w:rsid w:val="5BFC0A07"/>
    <w:rsid w:val="5C236A1B"/>
    <w:rsid w:val="5C4B112F"/>
    <w:rsid w:val="5C525223"/>
    <w:rsid w:val="5C58417F"/>
    <w:rsid w:val="5C60441E"/>
    <w:rsid w:val="5C786E42"/>
    <w:rsid w:val="5C817C90"/>
    <w:rsid w:val="5C8A2D19"/>
    <w:rsid w:val="5C936256"/>
    <w:rsid w:val="5CB24E8C"/>
    <w:rsid w:val="5CCD06A2"/>
    <w:rsid w:val="5CD0218D"/>
    <w:rsid w:val="5CD11264"/>
    <w:rsid w:val="5CD72390"/>
    <w:rsid w:val="5CE66736"/>
    <w:rsid w:val="5CF47E6D"/>
    <w:rsid w:val="5D2C31A8"/>
    <w:rsid w:val="5D316B75"/>
    <w:rsid w:val="5D3C709F"/>
    <w:rsid w:val="5D5312BA"/>
    <w:rsid w:val="5D557659"/>
    <w:rsid w:val="5D805FD7"/>
    <w:rsid w:val="5D8135C1"/>
    <w:rsid w:val="5DAE1749"/>
    <w:rsid w:val="5DC71F4B"/>
    <w:rsid w:val="5DEF3DDD"/>
    <w:rsid w:val="5E053D08"/>
    <w:rsid w:val="5E181346"/>
    <w:rsid w:val="5E5A3C9F"/>
    <w:rsid w:val="5E5C428F"/>
    <w:rsid w:val="5E690B0D"/>
    <w:rsid w:val="5E690CA7"/>
    <w:rsid w:val="5E9A76EE"/>
    <w:rsid w:val="5EB4136C"/>
    <w:rsid w:val="5EB61743"/>
    <w:rsid w:val="5ED22444"/>
    <w:rsid w:val="5EFF4815"/>
    <w:rsid w:val="5F04349E"/>
    <w:rsid w:val="5F1D7D39"/>
    <w:rsid w:val="5F2A25D3"/>
    <w:rsid w:val="5F3D7DCF"/>
    <w:rsid w:val="5F626A98"/>
    <w:rsid w:val="5F6859B1"/>
    <w:rsid w:val="5FBB4907"/>
    <w:rsid w:val="5FC655EC"/>
    <w:rsid w:val="5FCC74D6"/>
    <w:rsid w:val="5FEC21A0"/>
    <w:rsid w:val="5FFD4C6E"/>
    <w:rsid w:val="5FFE1F03"/>
    <w:rsid w:val="60037ABD"/>
    <w:rsid w:val="60890318"/>
    <w:rsid w:val="60986719"/>
    <w:rsid w:val="609B3E35"/>
    <w:rsid w:val="60A13EF0"/>
    <w:rsid w:val="60B82BB1"/>
    <w:rsid w:val="60E9588E"/>
    <w:rsid w:val="61102406"/>
    <w:rsid w:val="613B6146"/>
    <w:rsid w:val="61532E7D"/>
    <w:rsid w:val="615D207E"/>
    <w:rsid w:val="6166131D"/>
    <w:rsid w:val="61916461"/>
    <w:rsid w:val="619535E1"/>
    <w:rsid w:val="61A90E85"/>
    <w:rsid w:val="61B21F31"/>
    <w:rsid w:val="61B82675"/>
    <w:rsid w:val="61D037F5"/>
    <w:rsid w:val="61E253BC"/>
    <w:rsid w:val="61FB6EEA"/>
    <w:rsid w:val="61FD7E37"/>
    <w:rsid w:val="622246AC"/>
    <w:rsid w:val="628B314E"/>
    <w:rsid w:val="62C27B96"/>
    <w:rsid w:val="62CB3622"/>
    <w:rsid w:val="62CF3E91"/>
    <w:rsid w:val="62EC18A4"/>
    <w:rsid w:val="630D3030"/>
    <w:rsid w:val="636D2248"/>
    <w:rsid w:val="63874D4A"/>
    <w:rsid w:val="63AD2CB3"/>
    <w:rsid w:val="6406621E"/>
    <w:rsid w:val="643263FF"/>
    <w:rsid w:val="64462965"/>
    <w:rsid w:val="644D3F71"/>
    <w:rsid w:val="645B70BC"/>
    <w:rsid w:val="646A392E"/>
    <w:rsid w:val="64A96979"/>
    <w:rsid w:val="64BA4FAB"/>
    <w:rsid w:val="64CA3716"/>
    <w:rsid w:val="64CE452D"/>
    <w:rsid w:val="64CF5704"/>
    <w:rsid w:val="65094E81"/>
    <w:rsid w:val="650C7291"/>
    <w:rsid w:val="651C0DCF"/>
    <w:rsid w:val="65291FE1"/>
    <w:rsid w:val="6530399E"/>
    <w:rsid w:val="65477BE3"/>
    <w:rsid w:val="65980889"/>
    <w:rsid w:val="659F00D0"/>
    <w:rsid w:val="659F6086"/>
    <w:rsid w:val="65BC1CD7"/>
    <w:rsid w:val="65C15A07"/>
    <w:rsid w:val="65C5379B"/>
    <w:rsid w:val="65CB2652"/>
    <w:rsid w:val="65CB795D"/>
    <w:rsid w:val="65D17005"/>
    <w:rsid w:val="661766A2"/>
    <w:rsid w:val="661803EC"/>
    <w:rsid w:val="66196CCB"/>
    <w:rsid w:val="661E3B9C"/>
    <w:rsid w:val="6646343C"/>
    <w:rsid w:val="66951D52"/>
    <w:rsid w:val="669F54FB"/>
    <w:rsid w:val="66A95B14"/>
    <w:rsid w:val="672346A9"/>
    <w:rsid w:val="673B33E6"/>
    <w:rsid w:val="67642416"/>
    <w:rsid w:val="67651DD0"/>
    <w:rsid w:val="678F61BC"/>
    <w:rsid w:val="67A608AB"/>
    <w:rsid w:val="67AA5056"/>
    <w:rsid w:val="67ADF76C"/>
    <w:rsid w:val="67CC551F"/>
    <w:rsid w:val="67EF783B"/>
    <w:rsid w:val="67F62013"/>
    <w:rsid w:val="67F7121D"/>
    <w:rsid w:val="67F85E6E"/>
    <w:rsid w:val="67FE60FD"/>
    <w:rsid w:val="68360B6E"/>
    <w:rsid w:val="683F679D"/>
    <w:rsid w:val="68401DED"/>
    <w:rsid w:val="684A29C4"/>
    <w:rsid w:val="684F29EC"/>
    <w:rsid w:val="685B0356"/>
    <w:rsid w:val="68797A3C"/>
    <w:rsid w:val="689B7D9A"/>
    <w:rsid w:val="68A770E3"/>
    <w:rsid w:val="68B271BC"/>
    <w:rsid w:val="69646D35"/>
    <w:rsid w:val="69880CA5"/>
    <w:rsid w:val="69A515EA"/>
    <w:rsid w:val="69CD6E2D"/>
    <w:rsid w:val="69E210CB"/>
    <w:rsid w:val="69E67416"/>
    <w:rsid w:val="69FD0F4A"/>
    <w:rsid w:val="6A03098E"/>
    <w:rsid w:val="6A1D7B44"/>
    <w:rsid w:val="6A366327"/>
    <w:rsid w:val="6A3A2C2E"/>
    <w:rsid w:val="6A42305C"/>
    <w:rsid w:val="6AC32124"/>
    <w:rsid w:val="6AC650BB"/>
    <w:rsid w:val="6ACA5C29"/>
    <w:rsid w:val="6AD422BA"/>
    <w:rsid w:val="6ADB33AF"/>
    <w:rsid w:val="6ADC58F5"/>
    <w:rsid w:val="6AE91D5E"/>
    <w:rsid w:val="6AEB4596"/>
    <w:rsid w:val="6B2570A9"/>
    <w:rsid w:val="6B2A6D71"/>
    <w:rsid w:val="6B4B621C"/>
    <w:rsid w:val="6BA14FEB"/>
    <w:rsid w:val="6BAD18C2"/>
    <w:rsid w:val="6BC618C8"/>
    <w:rsid w:val="6BC72D62"/>
    <w:rsid w:val="6BE24E3D"/>
    <w:rsid w:val="6BFE1709"/>
    <w:rsid w:val="6C210628"/>
    <w:rsid w:val="6C46321A"/>
    <w:rsid w:val="6C511E31"/>
    <w:rsid w:val="6CC2766E"/>
    <w:rsid w:val="6CCE38D5"/>
    <w:rsid w:val="6CDF627E"/>
    <w:rsid w:val="6D3654BD"/>
    <w:rsid w:val="6D535020"/>
    <w:rsid w:val="6D632335"/>
    <w:rsid w:val="6D76586A"/>
    <w:rsid w:val="6D8C3BCB"/>
    <w:rsid w:val="6D9A02F7"/>
    <w:rsid w:val="6DE77BAE"/>
    <w:rsid w:val="6DFC1197"/>
    <w:rsid w:val="6E3C4C7B"/>
    <w:rsid w:val="6E3F3F23"/>
    <w:rsid w:val="6E4C52DD"/>
    <w:rsid w:val="6E516469"/>
    <w:rsid w:val="6E7D491B"/>
    <w:rsid w:val="6E955C5E"/>
    <w:rsid w:val="6E9A19C7"/>
    <w:rsid w:val="6EC75B80"/>
    <w:rsid w:val="6EDF0FC7"/>
    <w:rsid w:val="6EF5123B"/>
    <w:rsid w:val="6F1172D2"/>
    <w:rsid w:val="6F364120"/>
    <w:rsid w:val="6F3A558B"/>
    <w:rsid w:val="6F3B2D3F"/>
    <w:rsid w:val="6F7E4A5D"/>
    <w:rsid w:val="6FB01269"/>
    <w:rsid w:val="6FCA71A8"/>
    <w:rsid w:val="6FD709C6"/>
    <w:rsid w:val="6FEA346D"/>
    <w:rsid w:val="6FF7644D"/>
    <w:rsid w:val="6FFA467C"/>
    <w:rsid w:val="70353D2B"/>
    <w:rsid w:val="70453F35"/>
    <w:rsid w:val="704A06D3"/>
    <w:rsid w:val="709C0B70"/>
    <w:rsid w:val="70AD4FD5"/>
    <w:rsid w:val="70BB6D9A"/>
    <w:rsid w:val="71065187"/>
    <w:rsid w:val="710A2D40"/>
    <w:rsid w:val="712D6908"/>
    <w:rsid w:val="713201C6"/>
    <w:rsid w:val="71723E27"/>
    <w:rsid w:val="718553AD"/>
    <w:rsid w:val="71DE5E4E"/>
    <w:rsid w:val="720B086F"/>
    <w:rsid w:val="726D1450"/>
    <w:rsid w:val="729A5CB7"/>
    <w:rsid w:val="72BD1A47"/>
    <w:rsid w:val="72E32ADC"/>
    <w:rsid w:val="72F26EAE"/>
    <w:rsid w:val="73000034"/>
    <w:rsid w:val="735A797F"/>
    <w:rsid w:val="736334A5"/>
    <w:rsid w:val="73806DB6"/>
    <w:rsid w:val="73C361D0"/>
    <w:rsid w:val="73C565A9"/>
    <w:rsid w:val="73C96059"/>
    <w:rsid w:val="73CB2598"/>
    <w:rsid w:val="73E82167"/>
    <w:rsid w:val="741D1FB0"/>
    <w:rsid w:val="74376071"/>
    <w:rsid w:val="74615050"/>
    <w:rsid w:val="746F5365"/>
    <w:rsid w:val="74774E36"/>
    <w:rsid w:val="74924BF5"/>
    <w:rsid w:val="7496AF52"/>
    <w:rsid w:val="749C2C2C"/>
    <w:rsid w:val="74BF158F"/>
    <w:rsid w:val="74C63E7C"/>
    <w:rsid w:val="74D80B7C"/>
    <w:rsid w:val="74F97304"/>
    <w:rsid w:val="7506299F"/>
    <w:rsid w:val="751C28AD"/>
    <w:rsid w:val="75210735"/>
    <w:rsid w:val="75275BE9"/>
    <w:rsid w:val="75504FD9"/>
    <w:rsid w:val="75693540"/>
    <w:rsid w:val="756A49B9"/>
    <w:rsid w:val="75961BD7"/>
    <w:rsid w:val="759737FD"/>
    <w:rsid w:val="759B0C59"/>
    <w:rsid w:val="75AE3204"/>
    <w:rsid w:val="75D35D5A"/>
    <w:rsid w:val="760545A6"/>
    <w:rsid w:val="76491BDF"/>
    <w:rsid w:val="764B5364"/>
    <w:rsid w:val="76511BA8"/>
    <w:rsid w:val="768923C3"/>
    <w:rsid w:val="76B952DB"/>
    <w:rsid w:val="76C4700A"/>
    <w:rsid w:val="76D34B62"/>
    <w:rsid w:val="76ED4FE1"/>
    <w:rsid w:val="77233742"/>
    <w:rsid w:val="772C33B8"/>
    <w:rsid w:val="77533A61"/>
    <w:rsid w:val="779F7809"/>
    <w:rsid w:val="77DC139C"/>
    <w:rsid w:val="78023C31"/>
    <w:rsid w:val="781743B1"/>
    <w:rsid w:val="783D6676"/>
    <w:rsid w:val="784C61BE"/>
    <w:rsid w:val="785D7C29"/>
    <w:rsid w:val="7874177B"/>
    <w:rsid w:val="788004F1"/>
    <w:rsid w:val="78910152"/>
    <w:rsid w:val="789534CB"/>
    <w:rsid w:val="78B474C1"/>
    <w:rsid w:val="793E30D6"/>
    <w:rsid w:val="795319DE"/>
    <w:rsid w:val="796033DC"/>
    <w:rsid w:val="79920577"/>
    <w:rsid w:val="79964014"/>
    <w:rsid w:val="79C82A6B"/>
    <w:rsid w:val="79F75258"/>
    <w:rsid w:val="79FD1F46"/>
    <w:rsid w:val="7A3665F9"/>
    <w:rsid w:val="7A51019F"/>
    <w:rsid w:val="7A5A7C28"/>
    <w:rsid w:val="7A747A29"/>
    <w:rsid w:val="7A8640C3"/>
    <w:rsid w:val="7AAA6B8A"/>
    <w:rsid w:val="7AAC18E6"/>
    <w:rsid w:val="7AED6D1F"/>
    <w:rsid w:val="7B5264EF"/>
    <w:rsid w:val="7B5B7BDA"/>
    <w:rsid w:val="7B636832"/>
    <w:rsid w:val="7B8A3A2D"/>
    <w:rsid w:val="7B985994"/>
    <w:rsid w:val="7BE671A1"/>
    <w:rsid w:val="7C5D63A6"/>
    <w:rsid w:val="7C9622C0"/>
    <w:rsid w:val="7C9A4225"/>
    <w:rsid w:val="7CA25FD3"/>
    <w:rsid w:val="7CE266E9"/>
    <w:rsid w:val="7D025DDB"/>
    <w:rsid w:val="7D0B7140"/>
    <w:rsid w:val="7D0D3E36"/>
    <w:rsid w:val="7D3B03C5"/>
    <w:rsid w:val="7D7D347B"/>
    <w:rsid w:val="7DEA147C"/>
    <w:rsid w:val="7DFD1D74"/>
    <w:rsid w:val="7DFE3667"/>
    <w:rsid w:val="7E0A01FB"/>
    <w:rsid w:val="7E0D4DF9"/>
    <w:rsid w:val="7E3E4905"/>
    <w:rsid w:val="7E7025B0"/>
    <w:rsid w:val="7E7812C2"/>
    <w:rsid w:val="7E9C5989"/>
    <w:rsid w:val="7EA37DF8"/>
    <w:rsid w:val="7F134233"/>
    <w:rsid w:val="7F7CFF9F"/>
    <w:rsid w:val="7F7F2AF7"/>
    <w:rsid w:val="7F8C797A"/>
    <w:rsid w:val="7FA9A935"/>
    <w:rsid w:val="7FDCD33D"/>
    <w:rsid w:val="7FEF3639"/>
    <w:rsid w:val="7FFB0CAE"/>
    <w:rsid w:val="8EFC210D"/>
    <w:rsid w:val="8FFD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fillcolor="white">
      <v:fill color="white"/>
    </o:shapedefaults>
    <o:shapelayout v:ext="edit">
      <o:idmap v:ext="edit" data="1"/>
    </o:shapelayout>
  </w:shapeDefaults>
  <w:decimalSymbol w:val="."/>
  <w:listSeparator w:val=","/>
  <w15:docId w15:val="{856332F9-8D5B-4FB3-BCB7-129A6D182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napToGrid w:val="0"/>
      <w:spacing w:line="360" w:lineRule="auto"/>
      <w:ind w:firstLineChars="200" w:firstLine="200"/>
      <w:jc w:val="both"/>
    </w:pPr>
    <w:rPr>
      <w:rFonts w:ascii="宋体" w:hAnsi="宋体" w:cstheme="minorBidi"/>
      <w:kern w:val="2"/>
      <w:sz w:val="21"/>
      <w:szCs w:val="24"/>
    </w:rPr>
  </w:style>
  <w:style w:type="paragraph" w:styleId="1">
    <w:name w:val="heading 1"/>
    <w:basedOn w:val="a"/>
    <w:next w:val="a"/>
    <w:link w:val="1Char"/>
    <w:qFormat/>
    <w:pPr>
      <w:keepNext/>
      <w:keepLines/>
      <w:ind w:firstLineChars="0" w:firstLine="0"/>
      <w:outlineLvl w:val="0"/>
    </w:pPr>
    <w:rPr>
      <w:rFonts w:ascii="黑体" w:eastAsia="黑体" w:hAnsi="黑体" w:cs="黑体"/>
      <w:kern w:val="44"/>
      <w:szCs w:val="21"/>
    </w:rPr>
  </w:style>
  <w:style w:type="paragraph" w:styleId="2">
    <w:name w:val="heading 2"/>
    <w:basedOn w:val="a"/>
    <w:next w:val="a"/>
    <w:link w:val="2Char"/>
    <w:unhideWhenUsed/>
    <w:qFormat/>
    <w:pPr>
      <w:ind w:firstLineChars="0" w:firstLine="0"/>
      <w:jc w:val="left"/>
      <w:outlineLvl w:val="1"/>
    </w:pPr>
    <w:rPr>
      <w:rFonts w:ascii="黑体" w:eastAsia="黑体" w:hAnsi="黑体" w:cs="Times New Roman" w:hint="eastAsia"/>
      <w:kern w:val="0"/>
      <w:szCs w:val="36"/>
    </w:rPr>
  </w:style>
  <w:style w:type="paragraph" w:styleId="3">
    <w:name w:val="heading 3"/>
    <w:basedOn w:val="a"/>
    <w:next w:val="a"/>
    <w:unhideWhenUsed/>
    <w:qFormat/>
    <w:pPr>
      <w:ind w:firstLineChars="0" w:firstLine="0"/>
      <w:jc w:val="left"/>
      <w:outlineLvl w:val="2"/>
    </w:pPr>
    <w:rPr>
      <w:rFonts w:ascii="黑体" w:eastAsia="黑体" w:hAnsi="黑体" w:cs="Times New Roman" w:hint="eastAsia"/>
      <w:kern w:val="0"/>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sz w:val="18"/>
      <w:szCs w:val="18"/>
    </w:rPr>
  </w:style>
  <w:style w:type="paragraph" w:styleId="a4">
    <w:name w:val="annotation text"/>
    <w:basedOn w:val="a"/>
    <w:link w:val="Char0"/>
    <w:qFormat/>
    <w:pPr>
      <w:jc w:val="left"/>
    </w:pPr>
  </w:style>
  <w:style w:type="paragraph" w:styleId="a5">
    <w:name w:val="Body Text"/>
    <w:basedOn w:val="a"/>
    <w:uiPriority w:val="1"/>
    <w:qFormat/>
    <w:rPr>
      <w:rFonts w:cs="宋体"/>
      <w:szCs w:val="21"/>
      <w:lang w:val="hu-HU" w:eastAsia="hu-HU" w:bidi="hu-HU"/>
    </w:rPr>
  </w:style>
  <w:style w:type="paragraph" w:styleId="a6">
    <w:name w:val="Date"/>
    <w:basedOn w:val="a"/>
    <w:next w:val="a"/>
    <w:link w:val="Char1"/>
    <w:qFormat/>
    <w:pPr>
      <w:ind w:leftChars="2500" w:left="100"/>
    </w:pPr>
  </w:style>
  <w:style w:type="paragraph" w:styleId="a7">
    <w:name w:val="Balloon Text"/>
    <w:basedOn w:val="a"/>
    <w:link w:val="Char2"/>
    <w:qFormat/>
    <w:rPr>
      <w:sz w:val="18"/>
      <w:szCs w:val="18"/>
    </w:rPr>
  </w:style>
  <w:style w:type="paragraph" w:styleId="a8">
    <w:name w:val="footer"/>
    <w:basedOn w:val="a"/>
    <w:link w:val="Char3"/>
    <w:uiPriority w:val="99"/>
    <w:qFormat/>
    <w:pPr>
      <w:tabs>
        <w:tab w:val="center" w:pos="4153"/>
        <w:tab w:val="right" w:pos="8306"/>
      </w:tabs>
      <w:jc w:val="left"/>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pPr>
    <w:rPr>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cs="Times New Roman" w:hint="eastAsia"/>
      <w:kern w:val="0"/>
      <w:sz w:val="24"/>
    </w:rPr>
  </w:style>
  <w:style w:type="paragraph" w:styleId="aa">
    <w:name w:val="Normal (Web)"/>
    <w:basedOn w:val="a"/>
    <w:qFormat/>
    <w:pPr>
      <w:spacing w:beforeAutospacing="1" w:afterAutospacing="1"/>
      <w:jc w:val="left"/>
    </w:pPr>
    <w:rPr>
      <w:rFonts w:cs="Times New Roman"/>
      <w:kern w:val="0"/>
      <w:sz w:val="24"/>
    </w:rPr>
  </w:style>
  <w:style w:type="paragraph" w:styleId="ab">
    <w:name w:val="annotation subject"/>
    <w:basedOn w:val="a4"/>
    <w:next w:val="a4"/>
    <w:link w:val="Char4"/>
    <w:qFormat/>
    <w:rPr>
      <w:b/>
      <w:bCs/>
    </w:rPr>
  </w:style>
  <w:style w:type="table" w:styleId="ac">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Pr>
      <w:b/>
    </w:rPr>
  </w:style>
  <w:style w:type="character" w:styleId="ae">
    <w:name w:val="Hyperlink"/>
    <w:basedOn w:val="a0"/>
    <w:qFormat/>
    <w:rPr>
      <w:color w:val="0000FF"/>
      <w:u w:val="single"/>
    </w:rPr>
  </w:style>
  <w:style w:type="character" w:styleId="af">
    <w:name w:val="annotation reference"/>
    <w:basedOn w:val="a0"/>
    <w:qFormat/>
    <w:rPr>
      <w:sz w:val="21"/>
      <w:szCs w:val="21"/>
    </w:rPr>
  </w:style>
  <w:style w:type="character" w:customStyle="1" w:styleId="2Char">
    <w:name w:val="标题 2 Char"/>
    <w:link w:val="2"/>
    <w:qFormat/>
    <w:rPr>
      <w:rFonts w:ascii="黑体" w:eastAsia="黑体" w:hAnsi="黑体"/>
      <w:sz w:val="21"/>
      <w:szCs w:val="36"/>
    </w:rPr>
  </w:style>
  <w:style w:type="paragraph" w:customStyle="1" w:styleId="10">
    <w:name w:val="列出段落1"/>
    <w:basedOn w:val="a"/>
    <w:qFormat/>
    <w:pPr>
      <w:ind w:firstLine="420"/>
    </w:pPr>
    <w:rPr>
      <w:rFonts w:ascii="Times New Roman" w:hAnsi="Times New Roman" w:cs="Times New Roman"/>
      <w:szCs w:val="21"/>
    </w:rPr>
  </w:style>
  <w:style w:type="paragraph" w:styleId="af0">
    <w:name w:val="List Paragraph"/>
    <w:basedOn w:val="a"/>
    <w:uiPriority w:val="1"/>
    <w:qFormat/>
    <w:pPr>
      <w:ind w:left="1130" w:hanging="734"/>
    </w:pPr>
    <w:rPr>
      <w:rFonts w:cs="宋体"/>
      <w:lang w:val="hu-HU" w:eastAsia="hu-HU" w:bidi="hu-HU"/>
    </w:rPr>
  </w:style>
  <w:style w:type="character" w:customStyle="1" w:styleId="fontstyle01">
    <w:name w:val="fontstyle01"/>
    <w:basedOn w:val="a0"/>
    <w:qFormat/>
    <w:rPr>
      <w:rFonts w:ascii="FZSSK--GBK1-0" w:eastAsia="FZSSK--GBK1-0" w:hAnsi="FZSSK--GBK1-0" w:cs="FZSSK--GBK1-0"/>
      <w:color w:val="000000"/>
      <w:sz w:val="20"/>
      <w:szCs w:val="20"/>
    </w:rPr>
  </w:style>
  <w:style w:type="character" w:customStyle="1" w:styleId="Char">
    <w:name w:val="文档结构图 Char"/>
    <w:basedOn w:val="a0"/>
    <w:link w:val="a3"/>
    <w:qFormat/>
    <w:rPr>
      <w:rFonts w:ascii="宋体" w:eastAsia="宋体"/>
      <w:kern w:val="2"/>
      <w:sz w:val="18"/>
      <w:szCs w:val="18"/>
    </w:rPr>
  </w:style>
  <w:style w:type="character" w:customStyle="1" w:styleId="Char1">
    <w:name w:val="日期 Char"/>
    <w:basedOn w:val="a0"/>
    <w:link w:val="a6"/>
    <w:qFormat/>
    <w:rPr>
      <w:kern w:val="2"/>
      <w:sz w:val="21"/>
      <w:szCs w:val="24"/>
    </w:rPr>
  </w:style>
  <w:style w:type="character" w:customStyle="1" w:styleId="Char2">
    <w:name w:val="批注框文本 Char"/>
    <w:basedOn w:val="a0"/>
    <w:link w:val="a7"/>
    <w:qFormat/>
    <w:rPr>
      <w:kern w:val="2"/>
      <w:sz w:val="18"/>
      <w:szCs w:val="18"/>
    </w:rPr>
  </w:style>
  <w:style w:type="character" w:customStyle="1" w:styleId="tsname">
    <w:name w:val="tsname"/>
    <w:basedOn w:val="a0"/>
    <w:qFormat/>
  </w:style>
  <w:style w:type="paragraph" w:customStyle="1" w:styleId="af1">
    <w:name w:val="章标题"/>
    <w:qFormat/>
    <w:pPr>
      <w:jc w:val="both"/>
      <w:outlineLvl w:val="1"/>
    </w:pPr>
    <w:rPr>
      <w:rFonts w:ascii="黑体" w:eastAsia="黑体"/>
      <w:sz w:val="21"/>
    </w:rPr>
  </w:style>
  <w:style w:type="character" w:customStyle="1" w:styleId="Char0">
    <w:name w:val="批注文字 Char"/>
    <w:basedOn w:val="a0"/>
    <w:link w:val="a4"/>
    <w:qFormat/>
    <w:rPr>
      <w:kern w:val="2"/>
      <w:sz w:val="21"/>
      <w:szCs w:val="24"/>
    </w:rPr>
  </w:style>
  <w:style w:type="character" w:customStyle="1" w:styleId="Char4">
    <w:name w:val="批注主题 Char"/>
    <w:basedOn w:val="Char0"/>
    <w:link w:val="ab"/>
    <w:qFormat/>
    <w:rPr>
      <w:b/>
      <w:bCs/>
      <w:kern w:val="2"/>
      <w:sz w:val="21"/>
      <w:szCs w:val="24"/>
    </w:rPr>
  </w:style>
  <w:style w:type="character" w:customStyle="1" w:styleId="Char3">
    <w:name w:val="页脚 Char"/>
    <w:basedOn w:val="a0"/>
    <w:link w:val="a8"/>
    <w:uiPriority w:val="99"/>
    <w:qFormat/>
    <w:rPr>
      <w:rFonts w:asciiTheme="minorHAnsi" w:eastAsiaTheme="minorEastAsia" w:hAnsiTheme="minorHAnsi" w:cstheme="minorBidi"/>
      <w:kern w:val="2"/>
      <w:sz w:val="18"/>
      <w:szCs w:val="24"/>
    </w:rPr>
  </w:style>
  <w:style w:type="character" w:customStyle="1" w:styleId="1Char">
    <w:name w:val="标题 1 Char"/>
    <w:link w:val="1"/>
    <w:qFormat/>
    <w:rPr>
      <w:rFonts w:ascii="黑体" w:eastAsia="黑体" w:hAnsi="黑体" w:cs="黑体"/>
      <w:kern w:val="44"/>
      <w:sz w:val="21"/>
      <w:szCs w:val="21"/>
    </w:rPr>
  </w:style>
  <w:style w:type="paragraph" w:customStyle="1" w:styleId="11">
    <w:name w:val="修订1"/>
    <w:hidden/>
    <w:uiPriority w:val="99"/>
    <w:unhideWhenUsed/>
    <w:qFormat/>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9.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Info spid="_x0000_s2049"/>
    <customShpInfo spid="_x0000_s2054"/>
    <customShpInfo spid="_x0000_s2053"/>
    <customShpInfo spid="_x0000_s2052"/>
    <customShpInfo spid="_x0000_s2057"/>
    <customShpInfo spid="_x0000_s2056"/>
    <customShpInfo spid="_x0000_s2055"/>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849</Words>
  <Characters>4841</Characters>
  <Application>Microsoft Office Word</Application>
  <DocSecurity>0</DocSecurity>
  <Lines>40</Lines>
  <Paragraphs>11</Paragraphs>
  <ScaleCrop>false</ScaleCrop>
  <Company>MicroSoft</Company>
  <LinksUpToDate>false</LinksUpToDate>
  <CharactersWithSpaces>5679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linshuhua</dc:creator>
  <cp:lastModifiedBy>马雪</cp:lastModifiedBy>
  <cp:revision>32</cp:revision>
  <cp:lastPrinted>2024-09-24T14:23:00Z</cp:lastPrinted>
  <dcterms:created xsi:type="dcterms:W3CDTF">2024-10-31T23:35:00Z</dcterms:created>
  <dcterms:modified xsi:type="dcterms:W3CDTF">2026-04-28T08:06:00Z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9CD2A55297074C70821AC95341604E4E_13</vt:lpwstr>
  </property>
  <property fmtid="{D5CDD505-2E9C-101B-9397-08002B2CF9AE}" pid="4" name="KSOTemplateDocerSaveRecord">
    <vt:lpwstr>eyJoZGlkIjoiZGI2Y2M4ZDgxYTY5MzJjNGJlYTJiMzY0OWMyZjBlYmQiLCJ1c2VySWQiOiIxMjM3NTE2MzEyIn0=</vt:lpwstr>
  </property>
</Properties>
</file>